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44329268"/>
    <w:bookmarkStart w:id="1" w:name="_Toc244432093"/>
    <w:p w:rsidR="009E2078" w:rsidRPr="00803DB8" w:rsidRDefault="00D03A15" w:rsidP="009E2078">
      <w:pPr>
        <w:autoSpaceDE w:val="0"/>
        <w:autoSpaceDN w:val="0"/>
        <w:adjustRightInd w:val="0"/>
        <w:jc w:val="both"/>
        <w:outlineLvl w:val="1"/>
        <w:rPr>
          <w:b/>
          <w:bCs/>
          <w:sz w:val="28"/>
          <w:szCs w:val="28"/>
          <w:u w:val="single"/>
        </w:rPr>
      </w:pPr>
      <w:r w:rsidRPr="00803DB8">
        <w:rPr>
          <w:b/>
          <w:bCs/>
          <w:noProof/>
          <w:sz w:val="28"/>
          <w:szCs w:val="28"/>
          <w:u w:val="single"/>
        </w:rPr>
        <mc:AlternateContent>
          <mc:Choice Requires="wps">
            <w:drawing>
              <wp:anchor distT="0" distB="0" distL="114300" distR="114300" simplePos="0" relativeHeight="251659264" behindDoc="0" locked="0" layoutInCell="1" allowOverlap="1" wp14:anchorId="3FBFDEF1" wp14:editId="3ED8AAF4">
                <wp:simplePos x="0" y="0"/>
                <wp:positionH relativeFrom="column">
                  <wp:posOffset>4888523</wp:posOffset>
                </wp:positionH>
                <wp:positionV relativeFrom="paragraph">
                  <wp:posOffset>-1181002</wp:posOffset>
                </wp:positionV>
                <wp:extent cx="1758462" cy="328246"/>
                <wp:effectExtent l="0" t="0" r="0" b="0"/>
                <wp:wrapNone/>
                <wp:docPr id="3" name="Text Box 3"/>
                <wp:cNvGraphicFramePr/>
                <a:graphic xmlns:a="http://schemas.openxmlformats.org/drawingml/2006/main">
                  <a:graphicData uri="http://schemas.microsoft.com/office/word/2010/wordprocessingShape">
                    <wps:wsp>
                      <wps:cNvSpPr txBox="1"/>
                      <wps:spPr>
                        <a:xfrm>
                          <a:off x="0" y="0"/>
                          <a:ext cx="1758462" cy="3282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3A15" w:rsidRPr="00D03A15" w:rsidRDefault="00D03A15">
                            <w:pPr>
                              <w:rPr>
                                <w:rFonts w:ascii="Arial" w:hAnsi="Arial" w:cs="Arial"/>
                                <w:b/>
                                <w:u w:val="single"/>
                              </w:rPr>
                            </w:pPr>
                            <w:r>
                              <w:rPr>
                                <w:rFonts w:ascii="Arial" w:hAnsi="Arial" w:cs="Arial"/>
                                <w:b/>
                                <w:u w:val="single"/>
                              </w:rPr>
                              <w:t>ATTACHMENT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4.9pt;margin-top:-93pt;width:138.4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" fillcolor="white [3201]" stroked="f" strokeweight=".5pt">
                <v:textbox>
                  <w:txbxContent>
                    <w:p w:rsidR="00D03A15" w:rsidRPr="00D03A15" w:rsidRDefault="00D03A15">
                      <w:pPr>
                        <w:rPr>
                          <w:rFonts w:ascii="Arial" w:hAnsi="Arial" w:cs="Arial"/>
                          <w:b/>
                          <w:u w:val="single"/>
                        </w:rPr>
                      </w:pPr>
                      <w:r>
                        <w:rPr>
                          <w:rFonts w:ascii="Arial" w:hAnsi="Arial" w:cs="Arial"/>
                          <w:b/>
                          <w:u w:val="single"/>
                        </w:rPr>
                        <w:t>ATTACHMENT A</w:t>
                      </w:r>
                    </w:p>
                  </w:txbxContent>
                </v:textbox>
              </v:shape>
            </w:pict>
          </mc:Fallback>
        </mc:AlternateContent>
      </w:r>
      <w:r w:rsidR="009E2078" w:rsidRPr="00803DB8">
        <w:rPr>
          <w:b/>
          <w:bCs/>
          <w:sz w:val="28"/>
          <w:szCs w:val="28"/>
          <w:u w:val="single"/>
        </w:rPr>
        <w:t>Program Overview</w:t>
      </w:r>
      <w:bookmarkEnd w:id="0"/>
      <w:bookmarkEnd w:id="1"/>
    </w:p>
    <w:p w:rsidR="009E2078" w:rsidRPr="00803DB8" w:rsidRDefault="009E2078" w:rsidP="009E2078">
      <w:pPr>
        <w:autoSpaceDE w:val="0"/>
        <w:autoSpaceDN w:val="0"/>
        <w:adjustRightInd w:val="0"/>
        <w:jc w:val="both"/>
        <w:rPr>
          <w:sz w:val="28"/>
          <w:szCs w:val="28"/>
        </w:rPr>
      </w:pPr>
    </w:p>
    <w:p w:rsidR="009E2078" w:rsidRPr="00803DB8" w:rsidRDefault="009E2078" w:rsidP="00FA77E3">
      <w:pPr>
        <w:autoSpaceDE w:val="0"/>
        <w:autoSpaceDN w:val="0"/>
        <w:adjustRightInd w:val="0"/>
        <w:jc w:val="both"/>
      </w:pPr>
      <w:r w:rsidRPr="00DA5EC4">
        <w:t xml:space="preserve">The </w:t>
      </w:r>
      <w:r w:rsidR="000D34E1" w:rsidRPr="00DA5EC4">
        <w:t>Arterial Pavement Management</w:t>
      </w:r>
      <w:r w:rsidR="00BB4BC8" w:rsidRPr="00DA5EC4">
        <w:t xml:space="preserve"> </w:t>
      </w:r>
      <w:r w:rsidR="009219F7" w:rsidRPr="00DA5EC4">
        <w:t>(APM) P</w:t>
      </w:r>
      <w:r w:rsidR="00BB4BC8" w:rsidRPr="00DA5EC4">
        <w:t>rogram</w:t>
      </w:r>
      <w:r w:rsidR="000D34E1" w:rsidRPr="00DA5EC4">
        <w:t xml:space="preserve"> </w:t>
      </w:r>
      <w:r w:rsidRPr="00DA5EC4">
        <w:t>has</w:t>
      </w:r>
      <w:r w:rsidR="00CC7F48" w:rsidRPr="00DA5EC4">
        <w:t xml:space="preserve"> been developed to address </w:t>
      </w:r>
      <w:r w:rsidRPr="00DA5EC4">
        <w:t>pavement maintenance in Orange County.</w:t>
      </w:r>
      <w:r w:rsidR="00FA77E3" w:rsidRPr="00DA5EC4">
        <w:t xml:space="preserve"> </w:t>
      </w:r>
      <w:r w:rsidR="00BB4BC8" w:rsidRPr="00DA5EC4">
        <w:t xml:space="preserve">The </w:t>
      </w:r>
      <w:r w:rsidR="00AE14D2" w:rsidRPr="00DA5EC4">
        <w:t>A</w:t>
      </w:r>
      <w:r w:rsidR="001901A5" w:rsidRPr="00DA5EC4">
        <w:t>PM</w:t>
      </w:r>
      <w:r w:rsidR="00BB4BC8" w:rsidRPr="00DA5EC4">
        <w:t xml:space="preserve"> </w:t>
      </w:r>
      <w:r w:rsidR="009219F7" w:rsidRPr="00DA5EC4">
        <w:t>P</w:t>
      </w:r>
      <w:r w:rsidR="00BB4BC8" w:rsidRPr="00DA5EC4">
        <w:t>rogram</w:t>
      </w:r>
      <w:r w:rsidR="001901A5" w:rsidRPr="00DA5EC4">
        <w:t xml:space="preserve"> will seek to</w:t>
      </w:r>
      <w:r w:rsidR="009219F7" w:rsidRPr="00DA5EC4">
        <w:t xml:space="preserve"> provide cost-</w:t>
      </w:r>
      <w:r w:rsidR="00FA77E3" w:rsidRPr="00DA5EC4">
        <w:t xml:space="preserve">effective treatments that will </w:t>
      </w:r>
      <w:r w:rsidR="001170D4" w:rsidRPr="00DA5EC4">
        <w:t xml:space="preserve">preserve or </w:t>
      </w:r>
      <w:r w:rsidR="00FA77E3" w:rsidRPr="00DA5EC4">
        <w:t>improve the functional pavement condition and extend the service life</w:t>
      </w:r>
      <w:r w:rsidR="001901A5" w:rsidRPr="00DA5EC4">
        <w:t xml:space="preserve"> for distressed arterials in the County</w:t>
      </w:r>
      <w:r w:rsidR="00FA77E3" w:rsidRPr="00DA5EC4">
        <w:t xml:space="preserve">. </w:t>
      </w:r>
      <w:r w:rsidRPr="00DA5EC4">
        <w:t xml:space="preserve">Specifically, the </w:t>
      </w:r>
      <w:r w:rsidR="00AE14D2" w:rsidRPr="00DA5EC4">
        <w:t>A</w:t>
      </w:r>
      <w:r w:rsidR="008067DA" w:rsidRPr="00DA5EC4">
        <w:t>PM</w:t>
      </w:r>
      <w:r w:rsidR="00072232" w:rsidRPr="00DA5EC4">
        <w:t xml:space="preserve"> </w:t>
      </w:r>
      <w:r w:rsidR="009219F7" w:rsidRPr="00DA5EC4">
        <w:t>P</w:t>
      </w:r>
      <w:r w:rsidR="00072232" w:rsidRPr="00DA5EC4">
        <w:t>rogram</w:t>
      </w:r>
      <w:r w:rsidRPr="00DA5EC4">
        <w:t xml:space="preserve"> is designed to fund pavement </w:t>
      </w:r>
      <w:r w:rsidR="001170D4" w:rsidRPr="00DA5EC4">
        <w:t xml:space="preserve">preservation, </w:t>
      </w:r>
      <w:r w:rsidRPr="00DA5EC4">
        <w:t>rehabilitation</w:t>
      </w:r>
      <w:r w:rsidR="001170D4" w:rsidRPr="00DA5EC4">
        <w:t>,</w:t>
      </w:r>
      <w:r w:rsidRPr="00DA5EC4">
        <w:t xml:space="preserve"> and/or reconstruction projects </w:t>
      </w:r>
      <w:r w:rsidR="000435D2" w:rsidRPr="00DA5EC4">
        <w:t>for</w:t>
      </w:r>
      <w:r w:rsidR="0048282E" w:rsidRPr="00DA5EC4">
        <w:t xml:space="preserve"> </w:t>
      </w:r>
      <w:r w:rsidR="001D576C" w:rsidRPr="00DA5EC4">
        <w:t>federally eligible projects on the Master</w:t>
      </w:r>
      <w:r w:rsidRPr="00DA5EC4">
        <w:t xml:space="preserve"> </w:t>
      </w:r>
      <w:r w:rsidR="001D576C" w:rsidRPr="00DA5EC4">
        <w:t>Plan of Arterial Highway (MPAH).</w:t>
      </w:r>
    </w:p>
    <w:p w:rsidR="0085195C" w:rsidRPr="00803DB8" w:rsidRDefault="0085195C" w:rsidP="00FA77E3">
      <w:pPr>
        <w:autoSpaceDE w:val="0"/>
        <w:autoSpaceDN w:val="0"/>
        <w:adjustRightInd w:val="0"/>
        <w:jc w:val="both"/>
      </w:pPr>
    </w:p>
    <w:p w:rsidR="0085195C" w:rsidRPr="00803DB8" w:rsidRDefault="00CA4BCA" w:rsidP="00E343EB">
      <w:pPr>
        <w:pStyle w:val="Heading1"/>
        <w:numPr>
          <w:ilvl w:val="0"/>
          <w:numId w:val="0"/>
        </w:numPr>
        <w:spacing w:before="0" w:after="0"/>
        <w:rPr>
          <w:u w:val="single"/>
        </w:rPr>
      </w:pPr>
      <w:r w:rsidRPr="00803DB8">
        <w:rPr>
          <w:u w:val="single"/>
        </w:rPr>
        <w:t>Eligible Applicants</w:t>
      </w:r>
    </w:p>
    <w:p w:rsidR="00CA4BCA" w:rsidRPr="00803DB8" w:rsidRDefault="00CA4BCA" w:rsidP="00CA4BCA"/>
    <w:p w:rsidR="00703D6D" w:rsidRPr="00803DB8" w:rsidRDefault="0085195C" w:rsidP="00E343EB">
      <w:pPr>
        <w:jc w:val="both"/>
      </w:pPr>
      <w:r w:rsidRPr="00803DB8">
        <w:t>Eligible applicants</w:t>
      </w:r>
      <w:r w:rsidR="00E343EB" w:rsidRPr="00803DB8">
        <w:t xml:space="preserve"> for this program</w:t>
      </w:r>
      <w:r w:rsidRPr="00803DB8">
        <w:t xml:space="preserve"> include the 35 local government agencies in Orange County.  Eligible agencies must be able to receive federal funding through </w:t>
      </w:r>
      <w:r w:rsidR="009219F7" w:rsidRPr="00803DB8">
        <w:t>Orange County Transportation Authority (</w:t>
      </w:r>
      <w:r w:rsidRPr="00803DB8">
        <w:t>OCTA</w:t>
      </w:r>
      <w:r w:rsidR="009219F7" w:rsidRPr="00803DB8">
        <w:t>)</w:t>
      </w:r>
      <w:r w:rsidRPr="00803DB8">
        <w:t xml:space="preserve"> funds, and must be able to provide authorizing resolutions and cooperative agreements from their controlling bodies or through </w:t>
      </w:r>
      <w:r w:rsidR="009219F7" w:rsidRPr="00803DB8">
        <w:t xml:space="preserve">the California Department of </w:t>
      </w:r>
      <w:r w:rsidR="009219F7" w:rsidRPr="00803DB8">
        <w:br/>
        <w:t>Transportation (</w:t>
      </w:r>
      <w:r w:rsidRPr="00803DB8">
        <w:t>Caltrans</w:t>
      </w:r>
      <w:r w:rsidR="009219F7" w:rsidRPr="00803DB8">
        <w:t>)</w:t>
      </w:r>
      <w:r w:rsidRPr="00803DB8">
        <w:t xml:space="preserve"> as a direct recipient of Federal Highway Administration </w:t>
      </w:r>
      <w:r w:rsidR="00AA4B6F" w:rsidRPr="00803DB8">
        <w:t xml:space="preserve">(FHWA) </w:t>
      </w:r>
      <w:r w:rsidRPr="00803DB8">
        <w:t xml:space="preserve">funds.  Two or more eligible local agencies may participate on a project.  </w:t>
      </w:r>
    </w:p>
    <w:p w:rsidR="00E343EB" w:rsidRPr="00803DB8" w:rsidRDefault="00E343EB" w:rsidP="00E343EB">
      <w:pPr>
        <w:jc w:val="both"/>
        <w:rPr>
          <w:b/>
          <w:bCs/>
          <w:sz w:val="28"/>
          <w:szCs w:val="28"/>
        </w:rPr>
      </w:pPr>
    </w:p>
    <w:p w:rsidR="009E2078" w:rsidRPr="00803DB8" w:rsidRDefault="009E2078" w:rsidP="009E2078">
      <w:pPr>
        <w:autoSpaceDE w:val="0"/>
        <w:autoSpaceDN w:val="0"/>
        <w:adjustRightInd w:val="0"/>
        <w:jc w:val="both"/>
        <w:outlineLvl w:val="1"/>
        <w:rPr>
          <w:b/>
          <w:bCs/>
          <w:sz w:val="28"/>
          <w:szCs w:val="28"/>
          <w:u w:val="single"/>
        </w:rPr>
      </w:pPr>
      <w:bookmarkStart w:id="2" w:name="_Toc244329269"/>
      <w:bookmarkStart w:id="3" w:name="_Toc244432094"/>
      <w:r w:rsidRPr="00803DB8">
        <w:rPr>
          <w:b/>
          <w:bCs/>
          <w:sz w:val="28"/>
          <w:szCs w:val="28"/>
          <w:u w:val="single"/>
        </w:rPr>
        <w:t>Eligible Expenditures</w:t>
      </w:r>
      <w:bookmarkEnd w:id="2"/>
      <w:bookmarkEnd w:id="3"/>
    </w:p>
    <w:p w:rsidR="009E2078" w:rsidRPr="00803DB8" w:rsidRDefault="009E2078" w:rsidP="009E2078">
      <w:pPr>
        <w:autoSpaceDE w:val="0"/>
        <w:autoSpaceDN w:val="0"/>
        <w:adjustRightInd w:val="0"/>
        <w:jc w:val="both"/>
        <w:rPr>
          <w:sz w:val="28"/>
          <w:szCs w:val="28"/>
        </w:rPr>
      </w:pPr>
    </w:p>
    <w:p w:rsidR="009E2078" w:rsidRPr="00803DB8" w:rsidRDefault="009E2078" w:rsidP="009E2078">
      <w:pPr>
        <w:autoSpaceDE w:val="0"/>
        <w:autoSpaceDN w:val="0"/>
        <w:adjustRightInd w:val="0"/>
        <w:jc w:val="both"/>
      </w:pPr>
      <w:r w:rsidRPr="00803DB8">
        <w:t>The following general type of projects will be eligible under this program:</w:t>
      </w:r>
    </w:p>
    <w:p w:rsidR="008847A9" w:rsidRPr="00803DB8" w:rsidRDefault="008847A9" w:rsidP="009E2078">
      <w:pPr>
        <w:autoSpaceDE w:val="0"/>
        <w:autoSpaceDN w:val="0"/>
        <w:adjustRightInd w:val="0"/>
        <w:jc w:val="both"/>
      </w:pPr>
    </w:p>
    <w:p w:rsidR="008847A9" w:rsidRPr="00803DB8" w:rsidRDefault="001170D4" w:rsidP="009219F7">
      <w:pPr>
        <w:numPr>
          <w:ilvl w:val="0"/>
          <w:numId w:val="1"/>
        </w:numPr>
        <w:autoSpaceDE w:val="0"/>
        <w:autoSpaceDN w:val="0"/>
        <w:adjustRightInd w:val="0"/>
        <w:ind w:hanging="720"/>
        <w:jc w:val="both"/>
      </w:pPr>
      <w:r w:rsidRPr="00803DB8">
        <w:rPr>
          <w:b/>
        </w:rPr>
        <w:t>Pavement Prese</w:t>
      </w:r>
      <w:r w:rsidR="00D27872" w:rsidRPr="00803DB8">
        <w:rPr>
          <w:b/>
        </w:rPr>
        <w:t>rvation/Preventative Maintenance</w:t>
      </w:r>
      <w:r w:rsidR="00D27872" w:rsidRPr="00803DB8">
        <w:t xml:space="preserve">: Considered in this </w:t>
      </w:r>
      <w:r w:rsidR="009219F7" w:rsidRPr="00803DB8">
        <w:t>c</w:t>
      </w:r>
      <w:r w:rsidR="00D27872" w:rsidRPr="00803DB8">
        <w:t xml:space="preserve">all for </w:t>
      </w:r>
      <w:r w:rsidR="009219F7" w:rsidRPr="00803DB8">
        <w:t>p</w:t>
      </w:r>
      <w:r w:rsidR="00D27872" w:rsidRPr="00803DB8">
        <w:t xml:space="preserve">rojects as arterials </w:t>
      </w:r>
      <w:r w:rsidR="009E40C1" w:rsidRPr="00803DB8">
        <w:t>with</w:t>
      </w:r>
      <w:r w:rsidR="00D27872" w:rsidRPr="00803DB8">
        <w:t xml:space="preserve"> Pave</w:t>
      </w:r>
      <w:r w:rsidR="008847A9" w:rsidRPr="00803DB8">
        <w:t>ment Condition Index (PCI) of (60</w:t>
      </w:r>
      <w:r w:rsidR="00D27872" w:rsidRPr="00803DB8">
        <w:t>-85</w:t>
      </w:r>
      <w:r w:rsidR="008847A9" w:rsidRPr="00803DB8">
        <w:t>)</w:t>
      </w:r>
      <w:r w:rsidR="00D27872" w:rsidRPr="00803DB8">
        <w:t>.</w:t>
      </w:r>
      <w:r w:rsidR="006163E7" w:rsidRPr="00803DB8">
        <w:t xml:space="preserve"> Treatments</w:t>
      </w:r>
      <w:r w:rsidR="00E343EB" w:rsidRPr="00803DB8">
        <w:t xml:space="preserve"> can</w:t>
      </w:r>
      <w:r w:rsidR="006163E7" w:rsidRPr="00803DB8">
        <w:t xml:space="preserve"> include </w:t>
      </w:r>
      <w:r w:rsidR="008847A9" w:rsidRPr="00803DB8">
        <w:t>slurry seals,</w:t>
      </w:r>
      <w:r w:rsidR="00A35500" w:rsidRPr="00803DB8">
        <w:t xml:space="preserve"> </w:t>
      </w:r>
      <w:proofErr w:type="spellStart"/>
      <w:r w:rsidR="00A35500" w:rsidRPr="00803DB8">
        <w:t>microsurfacing</w:t>
      </w:r>
      <w:proofErr w:type="spellEnd"/>
      <w:r w:rsidR="00A35500" w:rsidRPr="00803DB8">
        <w:t>,</w:t>
      </w:r>
      <w:r w:rsidR="008847A9" w:rsidRPr="00803DB8">
        <w:t xml:space="preserve"> crack seals, </w:t>
      </w:r>
      <w:r w:rsidR="00F831EE" w:rsidRPr="00803DB8">
        <w:t>and similar sealing non-structural treatments</w:t>
      </w:r>
      <w:r w:rsidR="006163E7" w:rsidRPr="00803DB8">
        <w:t>.</w:t>
      </w:r>
      <w:r w:rsidR="00E343EB" w:rsidRPr="00803DB8">
        <w:t xml:space="preserve"> </w:t>
      </w:r>
    </w:p>
    <w:p w:rsidR="00ED0207" w:rsidRPr="00803DB8" w:rsidRDefault="00ED0207" w:rsidP="009219F7">
      <w:pPr>
        <w:autoSpaceDE w:val="0"/>
        <w:autoSpaceDN w:val="0"/>
        <w:adjustRightInd w:val="0"/>
        <w:ind w:left="720" w:hanging="720"/>
        <w:jc w:val="both"/>
      </w:pPr>
    </w:p>
    <w:p w:rsidR="00B74E6A" w:rsidRPr="00803DB8" w:rsidRDefault="009E2078" w:rsidP="009219F7">
      <w:pPr>
        <w:numPr>
          <w:ilvl w:val="0"/>
          <w:numId w:val="1"/>
        </w:numPr>
        <w:autoSpaceDE w:val="0"/>
        <w:autoSpaceDN w:val="0"/>
        <w:adjustRightInd w:val="0"/>
        <w:ind w:hanging="720"/>
        <w:jc w:val="both"/>
        <w:rPr>
          <w:i/>
        </w:rPr>
      </w:pPr>
      <w:r w:rsidRPr="00803DB8">
        <w:rPr>
          <w:b/>
        </w:rPr>
        <w:t>Rehabilitation</w:t>
      </w:r>
      <w:r w:rsidR="00DF34F1" w:rsidRPr="00803DB8">
        <w:t>: Work undertaken to extend the service life of an existing facility. This includes placement of additional surfacing and/or other work necessary to return an existing roadway, including shoulders, to a condition of structural or functional adequacy, for the specified service life. This might include the partial or complete removal and replacement of portions of the pavement structure.</w:t>
      </w:r>
      <w:r w:rsidR="006163E7" w:rsidRPr="00803DB8">
        <w:t xml:space="preserve"> </w:t>
      </w:r>
      <w:r w:rsidR="008847A9" w:rsidRPr="00803DB8">
        <w:t>Arterials with a PCI of (41-</w:t>
      </w:r>
      <w:r w:rsidR="00FC6FE9" w:rsidRPr="00803DB8">
        <w:t>74</w:t>
      </w:r>
      <w:r w:rsidR="008847A9" w:rsidRPr="00803DB8">
        <w:t>) are eligible for this category.</w:t>
      </w:r>
      <w:r w:rsidR="00B74E6A" w:rsidRPr="00803DB8">
        <w:t xml:space="preserve"> Pavement rehabilitation consists of a variety of different treatments </w:t>
      </w:r>
      <w:r w:rsidR="00ED0207" w:rsidRPr="00803DB8">
        <w:t>thin overlays which are a maximum of 1.2 inch (30 mm) in thickness</w:t>
      </w:r>
      <w:r w:rsidR="00ED0207" w:rsidRPr="00803DB8">
        <w:rPr>
          <w:rStyle w:val="FootnoteReference"/>
        </w:rPr>
        <w:footnoteReference w:id="1"/>
      </w:r>
      <w:r w:rsidR="00ED0207" w:rsidRPr="00803DB8">
        <w:t xml:space="preserve">, </w:t>
      </w:r>
      <w:r w:rsidR="006163E7" w:rsidRPr="00803DB8">
        <w:t>thick overlays or structural overlays</w:t>
      </w:r>
      <w:r w:rsidR="00B74E6A" w:rsidRPr="00803DB8">
        <w:t>, Cold In-Place Recycling, Hot In-Place Recycling, etc., but should not include preventive maintenance treatment.</w:t>
      </w:r>
    </w:p>
    <w:p w:rsidR="00F831EE" w:rsidRPr="00803DB8" w:rsidRDefault="00B74E6A" w:rsidP="00B74E6A">
      <w:pPr>
        <w:autoSpaceDE w:val="0"/>
        <w:autoSpaceDN w:val="0"/>
        <w:adjustRightInd w:val="0"/>
        <w:ind w:left="720"/>
        <w:jc w:val="both"/>
        <w:sectPr w:rsidR="00F831EE" w:rsidRPr="00803DB8" w:rsidSect="00B80185">
          <w:headerReference w:type="default" r:id="rId9"/>
          <w:footerReference w:type="default" r:id="rId10"/>
          <w:pgSz w:w="12240" w:h="15840"/>
          <w:pgMar w:top="1440" w:right="1440" w:bottom="1440" w:left="1440" w:header="720" w:footer="720" w:gutter="0"/>
          <w:cols w:space="720"/>
          <w:docGrid w:linePitch="360"/>
        </w:sectPr>
      </w:pPr>
      <w:r w:rsidRPr="00803DB8">
        <w:t xml:space="preserve"> </w:t>
      </w:r>
    </w:p>
    <w:p w:rsidR="008847A9" w:rsidRPr="00803DB8" w:rsidRDefault="009E2078" w:rsidP="009219F7">
      <w:pPr>
        <w:numPr>
          <w:ilvl w:val="0"/>
          <w:numId w:val="1"/>
        </w:numPr>
        <w:autoSpaceDE w:val="0"/>
        <w:autoSpaceDN w:val="0"/>
        <w:adjustRightInd w:val="0"/>
        <w:ind w:hanging="720"/>
        <w:jc w:val="both"/>
      </w:pPr>
      <w:r w:rsidRPr="00803DB8">
        <w:rPr>
          <w:b/>
        </w:rPr>
        <w:lastRenderedPageBreak/>
        <w:t>Reconstruction</w:t>
      </w:r>
      <w:r w:rsidR="00DF34F1" w:rsidRPr="00803DB8">
        <w:t xml:space="preserve">: Pavement reconstruction is the replacement of the entire existing pavement structure by the placement of the equivalent or increased pavement structure. Reconstruction usually requires the complete removal and replacement of the existing pavement structure utilizing either new or recycled materials. </w:t>
      </w:r>
      <w:r w:rsidR="008847A9" w:rsidRPr="00803DB8">
        <w:t>Arterials in this category</w:t>
      </w:r>
      <w:r w:rsidR="002D3EEC" w:rsidRPr="00803DB8">
        <w:t xml:space="preserve"> are</w:t>
      </w:r>
      <w:r w:rsidR="008847A9" w:rsidRPr="00803DB8">
        <w:t xml:space="preserve"> identified with a PCI</w:t>
      </w:r>
      <w:r w:rsidR="002D3EEC" w:rsidRPr="00803DB8">
        <w:t xml:space="preserve"> rating in the</w:t>
      </w:r>
      <w:r w:rsidR="008847A9" w:rsidRPr="00803DB8">
        <w:t xml:space="preserve"> range of (0-40).</w:t>
      </w:r>
    </w:p>
    <w:p w:rsidR="00B74E6A" w:rsidRPr="00803DB8" w:rsidRDefault="00B74E6A" w:rsidP="009E2078">
      <w:pPr>
        <w:autoSpaceDE w:val="0"/>
        <w:autoSpaceDN w:val="0"/>
        <w:adjustRightInd w:val="0"/>
        <w:jc w:val="both"/>
      </w:pPr>
    </w:p>
    <w:p w:rsidR="009E2078" w:rsidRPr="00803DB8" w:rsidRDefault="009E2078" w:rsidP="009E2078">
      <w:pPr>
        <w:autoSpaceDE w:val="0"/>
        <w:autoSpaceDN w:val="0"/>
        <w:adjustRightInd w:val="0"/>
        <w:jc w:val="both"/>
      </w:pPr>
      <w:r w:rsidRPr="00803DB8">
        <w:t>For each of these projects the following expenditures will be eligible:</w:t>
      </w:r>
      <w:r w:rsidRPr="00803DB8">
        <w:rPr>
          <w:rStyle w:val="FootnoteReference"/>
        </w:rPr>
        <w:footnoteReference w:id="2"/>
      </w:r>
    </w:p>
    <w:p w:rsidR="00A35500" w:rsidRPr="00803DB8" w:rsidRDefault="00A35500" w:rsidP="009E2078">
      <w:pPr>
        <w:autoSpaceDE w:val="0"/>
        <w:autoSpaceDN w:val="0"/>
        <w:adjustRightInd w:val="0"/>
        <w:jc w:val="both"/>
        <w:rPr>
          <w:sz w:val="16"/>
          <w:szCs w:val="16"/>
        </w:rPr>
      </w:pPr>
    </w:p>
    <w:p w:rsidR="009E2078" w:rsidRPr="00803DB8" w:rsidRDefault="009E2078" w:rsidP="009219F7">
      <w:pPr>
        <w:numPr>
          <w:ilvl w:val="0"/>
          <w:numId w:val="2"/>
        </w:numPr>
        <w:autoSpaceDE w:val="0"/>
        <w:autoSpaceDN w:val="0"/>
        <w:adjustRightInd w:val="0"/>
        <w:ind w:hanging="720"/>
        <w:jc w:val="both"/>
      </w:pPr>
      <w:r w:rsidRPr="00803DB8">
        <w:t>Construction</w:t>
      </w:r>
    </w:p>
    <w:p w:rsidR="009E2078" w:rsidRPr="00803DB8" w:rsidRDefault="009E2078" w:rsidP="009219F7">
      <w:pPr>
        <w:numPr>
          <w:ilvl w:val="0"/>
          <w:numId w:val="2"/>
        </w:numPr>
        <w:autoSpaceDE w:val="0"/>
        <w:autoSpaceDN w:val="0"/>
        <w:adjustRightInd w:val="0"/>
        <w:ind w:hanging="720"/>
        <w:jc w:val="both"/>
      </w:pPr>
      <w:r w:rsidRPr="00803DB8">
        <w:t xml:space="preserve">Construction </w:t>
      </w:r>
      <w:r w:rsidR="009219F7" w:rsidRPr="00803DB8">
        <w:t>e</w:t>
      </w:r>
      <w:r w:rsidRPr="00803DB8">
        <w:t>ngineering</w:t>
      </w:r>
    </w:p>
    <w:p w:rsidR="008847A9" w:rsidRPr="00803DB8" w:rsidRDefault="009E2078" w:rsidP="009219F7">
      <w:pPr>
        <w:numPr>
          <w:ilvl w:val="0"/>
          <w:numId w:val="2"/>
        </w:numPr>
        <w:autoSpaceDE w:val="0"/>
        <w:autoSpaceDN w:val="0"/>
        <w:adjustRightInd w:val="0"/>
        <w:ind w:hanging="720"/>
        <w:jc w:val="both"/>
      </w:pPr>
      <w:r w:rsidRPr="00803DB8">
        <w:t xml:space="preserve">Bike lanes (striping </w:t>
      </w:r>
      <w:r w:rsidR="00674B67" w:rsidRPr="00803DB8">
        <w:t xml:space="preserve">and corresponding signage </w:t>
      </w:r>
      <w:r w:rsidRPr="00803DB8">
        <w:t xml:space="preserve">only, must be on </w:t>
      </w:r>
      <w:r w:rsidR="00674B67" w:rsidRPr="00803DB8">
        <w:t>an adopted p</w:t>
      </w:r>
      <w:r w:rsidRPr="00803DB8">
        <w:t>lan)</w:t>
      </w:r>
    </w:p>
    <w:p w:rsidR="009E2078" w:rsidRPr="00803DB8" w:rsidRDefault="009E2078" w:rsidP="009219F7">
      <w:pPr>
        <w:numPr>
          <w:ilvl w:val="0"/>
          <w:numId w:val="2"/>
        </w:numPr>
        <w:autoSpaceDE w:val="0"/>
        <w:autoSpaceDN w:val="0"/>
        <w:adjustRightInd w:val="0"/>
        <w:ind w:hanging="720"/>
        <w:jc w:val="both"/>
      </w:pPr>
      <w:r w:rsidRPr="00803DB8">
        <w:t>Bus Turnouts (resurfacing only, must be on an OCTA route)</w:t>
      </w:r>
    </w:p>
    <w:p w:rsidR="009E2078" w:rsidRPr="00803DB8" w:rsidRDefault="009E2078" w:rsidP="009219F7">
      <w:pPr>
        <w:numPr>
          <w:ilvl w:val="0"/>
          <w:numId w:val="2"/>
        </w:numPr>
        <w:autoSpaceDE w:val="0"/>
        <w:autoSpaceDN w:val="0"/>
        <w:adjustRightInd w:val="0"/>
        <w:ind w:hanging="720"/>
        <w:jc w:val="both"/>
      </w:pPr>
      <w:r w:rsidRPr="00803DB8">
        <w:t xml:space="preserve">Portland </w:t>
      </w:r>
      <w:r w:rsidR="009219F7" w:rsidRPr="00803DB8">
        <w:t>c</w:t>
      </w:r>
      <w:r w:rsidRPr="00803DB8">
        <w:t xml:space="preserve">oncrete </w:t>
      </w:r>
      <w:r w:rsidR="009219F7" w:rsidRPr="00803DB8">
        <w:t>c</w:t>
      </w:r>
      <w:r w:rsidRPr="00803DB8">
        <w:t xml:space="preserve">ement (PCC) </w:t>
      </w:r>
      <w:r w:rsidR="00F27662" w:rsidRPr="00803DB8">
        <w:t>b</w:t>
      </w:r>
      <w:r w:rsidRPr="00803DB8">
        <w:t xml:space="preserve">us </w:t>
      </w:r>
      <w:r w:rsidR="00F27662" w:rsidRPr="00803DB8">
        <w:t>p</w:t>
      </w:r>
      <w:r w:rsidRPr="00803DB8">
        <w:t>ads</w:t>
      </w:r>
    </w:p>
    <w:p w:rsidR="009E2078" w:rsidRPr="00803DB8" w:rsidRDefault="002F4694" w:rsidP="009219F7">
      <w:pPr>
        <w:numPr>
          <w:ilvl w:val="0"/>
          <w:numId w:val="2"/>
        </w:numPr>
        <w:autoSpaceDE w:val="0"/>
        <w:autoSpaceDN w:val="0"/>
        <w:adjustRightInd w:val="0"/>
        <w:ind w:hanging="720"/>
        <w:jc w:val="both"/>
      </w:pPr>
      <w:r w:rsidRPr="00803DB8">
        <w:t xml:space="preserve">Repair or </w:t>
      </w:r>
      <w:r w:rsidR="009219F7" w:rsidRPr="00803DB8">
        <w:t>r</w:t>
      </w:r>
      <w:r w:rsidR="009E2078" w:rsidRPr="00803DB8">
        <w:t xml:space="preserve">eplacement </w:t>
      </w:r>
      <w:r w:rsidRPr="00803DB8">
        <w:t xml:space="preserve">in kind </w:t>
      </w:r>
      <w:r w:rsidR="009E2078" w:rsidRPr="00803DB8">
        <w:t>of parking lanes, curbs, gutters,</w:t>
      </w:r>
      <w:r w:rsidRPr="00803DB8">
        <w:t xml:space="preserve"> driveway approaches,</w:t>
      </w:r>
      <w:r w:rsidR="009E2078" w:rsidRPr="00803DB8">
        <w:t xml:space="preserve"> catch basins, and minor profile revisions (i.e., curb to curb) as required by project</w:t>
      </w:r>
    </w:p>
    <w:p w:rsidR="009E2078" w:rsidRPr="00803DB8" w:rsidRDefault="009E2078" w:rsidP="009219F7">
      <w:pPr>
        <w:numPr>
          <w:ilvl w:val="0"/>
          <w:numId w:val="2"/>
        </w:numPr>
        <w:autoSpaceDE w:val="0"/>
        <w:autoSpaceDN w:val="0"/>
        <w:adjustRightInd w:val="0"/>
        <w:ind w:hanging="720"/>
        <w:jc w:val="both"/>
      </w:pPr>
      <w:r w:rsidRPr="00803DB8">
        <w:t>Use of alternative materials such as rubberized asphalt, PCC, etc.</w:t>
      </w:r>
    </w:p>
    <w:p w:rsidR="009E2078" w:rsidRPr="00803DB8" w:rsidRDefault="009E2078" w:rsidP="009219F7">
      <w:pPr>
        <w:numPr>
          <w:ilvl w:val="0"/>
          <w:numId w:val="2"/>
        </w:numPr>
        <w:autoSpaceDE w:val="0"/>
        <w:autoSpaceDN w:val="0"/>
        <w:adjustRightInd w:val="0"/>
        <w:ind w:hanging="720"/>
        <w:jc w:val="both"/>
      </w:pPr>
      <w:r w:rsidRPr="00803DB8">
        <w:t>Construction or modification of curb ramps within the limits of the project as necessary to satisfy Americans with Disabilities Act (ADA) requirements</w:t>
      </w:r>
    </w:p>
    <w:p w:rsidR="002C4D90" w:rsidRPr="00803DB8" w:rsidRDefault="002C4D90" w:rsidP="009E2078">
      <w:pPr>
        <w:autoSpaceDE w:val="0"/>
        <w:autoSpaceDN w:val="0"/>
        <w:adjustRightInd w:val="0"/>
        <w:jc w:val="both"/>
        <w:rPr>
          <w:b/>
          <w:bCs/>
          <w:sz w:val="28"/>
          <w:szCs w:val="28"/>
        </w:rPr>
      </w:pPr>
    </w:p>
    <w:p w:rsidR="00C53B82" w:rsidRPr="00803DB8" w:rsidRDefault="00C53B82" w:rsidP="00C53B82">
      <w:pPr>
        <w:rPr>
          <w:b/>
          <w:bCs/>
        </w:rPr>
      </w:pPr>
      <w:r w:rsidRPr="00803DB8">
        <w:rPr>
          <w:b/>
          <w:bCs/>
        </w:rPr>
        <w:t>Potentially Eligible Expenditures</w:t>
      </w:r>
    </w:p>
    <w:p w:rsidR="00C53B82" w:rsidRPr="00803DB8" w:rsidRDefault="00C53B82" w:rsidP="00C53B82">
      <w:pPr>
        <w:autoSpaceDE w:val="0"/>
        <w:autoSpaceDN w:val="0"/>
        <w:adjustRightInd w:val="0"/>
        <w:jc w:val="both"/>
      </w:pPr>
    </w:p>
    <w:p w:rsidR="00C53B82" w:rsidRPr="00803DB8" w:rsidRDefault="00C53B82" w:rsidP="00C53B82">
      <w:pPr>
        <w:autoSpaceDE w:val="0"/>
        <w:autoSpaceDN w:val="0"/>
        <w:adjustRightInd w:val="0"/>
        <w:jc w:val="both"/>
      </w:pPr>
      <w:r w:rsidRPr="00803DB8">
        <w:t>Items that are potentially eligible under the APM program are:</w:t>
      </w:r>
    </w:p>
    <w:p w:rsidR="00C53B82" w:rsidRPr="00803DB8" w:rsidRDefault="00C53B82" w:rsidP="00C53B82">
      <w:pPr>
        <w:autoSpaceDE w:val="0"/>
        <w:autoSpaceDN w:val="0"/>
        <w:adjustRightInd w:val="0"/>
        <w:jc w:val="both"/>
      </w:pPr>
    </w:p>
    <w:p w:rsidR="00C53B82" w:rsidRPr="00803DB8" w:rsidRDefault="00C53B82" w:rsidP="009219F7">
      <w:pPr>
        <w:numPr>
          <w:ilvl w:val="0"/>
          <w:numId w:val="3"/>
        </w:numPr>
        <w:autoSpaceDE w:val="0"/>
        <w:autoSpaceDN w:val="0"/>
        <w:adjustRightInd w:val="0"/>
        <w:ind w:hanging="720"/>
        <w:jc w:val="both"/>
      </w:pPr>
      <w:r w:rsidRPr="00803DB8">
        <w:t>Sidewalks if mandated for ADA type improvement/upgrade and only up to 10</w:t>
      </w:r>
      <w:r w:rsidR="009219F7" w:rsidRPr="00803DB8">
        <w:t xml:space="preserve"> percent</w:t>
      </w:r>
      <w:r w:rsidRPr="00803DB8">
        <w:t xml:space="preserve"> of the total improvement costs. Must be within the limits of APM Project and located within </w:t>
      </w:r>
      <w:r w:rsidR="009219F7" w:rsidRPr="00803DB8">
        <w:t>p</w:t>
      </w:r>
      <w:r w:rsidRPr="00803DB8">
        <w:t xml:space="preserve">ublic </w:t>
      </w:r>
      <w:r w:rsidR="009219F7" w:rsidRPr="00803DB8">
        <w:t>r</w:t>
      </w:r>
      <w:r w:rsidRPr="00803DB8">
        <w:t>ight-of-</w:t>
      </w:r>
      <w:r w:rsidR="009219F7" w:rsidRPr="00803DB8">
        <w:t>w</w:t>
      </w:r>
      <w:r w:rsidRPr="00803DB8">
        <w:t xml:space="preserve">ay. </w:t>
      </w:r>
    </w:p>
    <w:p w:rsidR="00C53B82" w:rsidRPr="00803DB8" w:rsidRDefault="00C53B82" w:rsidP="00C53B82">
      <w:pPr>
        <w:autoSpaceDE w:val="0"/>
        <w:autoSpaceDN w:val="0"/>
        <w:adjustRightInd w:val="0"/>
        <w:jc w:val="both"/>
      </w:pPr>
    </w:p>
    <w:p w:rsidR="00C53B82" w:rsidRPr="00803DB8" w:rsidRDefault="00C53B82" w:rsidP="00C53B82">
      <w:pPr>
        <w:autoSpaceDE w:val="0"/>
        <w:autoSpaceDN w:val="0"/>
        <w:adjustRightInd w:val="0"/>
        <w:jc w:val="both"/>
        <w:rPr>
          <w:b/>
          <w:bCs/>
          <w:sz w:val="28"/>
          <w:szCs w:val="28"/>
          <w:u w:val="single"/>
        </w:rPr>
      </w:pPr>
      <w:bookmarkStart w:id="4" w:name="_Toc244329270"/>
      <w:bookmarkStart w:id="5" w:name="_Toc244432095"/>
      <w:r w:rsidRPr="00803DB8">
        <w:rPr>
          <w:b/>
          <w:bCs/>
          <w:sz w:val="28"/>
          <w:szCs w:val="28"/>
          <w:u w:val="single"/>
        </w:rPr>
        <w:t>Ineligible Expenditures</w:t>
      </w:r>
      <w:bookmarkEnd w:id="4"/>
      <w:bookmarkEnd w:id="5"/>
    </w:p>
    <w:p w:rsidR="00C53B82" w:rsidRPr="00803DB8" w:rsidRDefault="00C53B82" w:rsidP="00C53B82">
      <w:pPr>
        <w:autoSpaceDE w:val="0"/>
        <w:autoSpaceDN w:val="0"/>
        <w:adjustRightInd w:val="0"/>
        <w:jc w:val="both"/>
        <w:rPr>
          <w:sz w:val="28"/>
          <w:szCs w:val="28"/>
        </w:rPr>
      </w:pPr>
    </w:p>
    <w:p w:rsidR="00C53B82" w:rsidRPr="00803DB8" w:rsidRDefault="00C53B82" w:rsidP="00C53B82">
      <w:pPr>
        <w:autoSpaceDE w:val="0"/>
        <w:autoSpaceDN w:val="0"/>
        <w:adjustRightInd w:val="0"/>
        <w:jc w:val="both"/>
      </w:pPr>
      <w:r w:rsidRPr="00803DB8">
        <w:t xml:space="preserve">Items that are </w:t>
      </w:r>
      <w:r w:rsidRPr="00803DB8">
        <w:rPr>
          <w:b/>
          <w:u w:val="single"/>
        </w:rPr>
        <w:t>not eligible</w:t>
      </w:r>
      <w:r w:rsidRPr="00803DB8">
        <w:t xml:space="preserve"> under APM are:</w:t>
      </w:r>
    </w:p>
    <w:p w:rsidR="00C53B82" w:rsidRPr="00803DB8" w:rsidRDefault="00C53B82" w:rsidP="00C53B82">
      <w:pPr>
        <w:autoSpaceDE w:val="0"/>
        <w:autoSpaceDN w:val="0"/>
        <w:adjustRightInd w:val="0"/>
        <w:jc w:val="both"/>
      </w:pPr>
    </w:p>
    <w:p w:rsidR="00C53B82" w:rsidRPr="00803DB8" w:rsidRDefault="00C53B82" w:rsidP="009219F7">
      <w:pPr>
        <w:numPr>
          <w:ilvl w:val="0"/>
          <w:numId w:val="3"/>
        </w:numPr>
        <w:autoSpaceDE w:val="0"/>
        <w:autoSpaceDN w:val="0"/>
        <w:adjustRightInd w:val="0"/>
        <w:ind w:hanging="720"/>
        <w:jc w:val="both"/>
      </w:pPr>
      <w:r w:rsidRPr="00803DB8">
        <w:t>Landscaping</w:t>
      </w:r>
    </w:p>
    <w:p w:rsidR="00C53B82" w:rsidRPr="00803DB8" w:rsidRDefault="00C53B82" w:rsidP="009219F7">
      <w:pPr>
        <w:numPr>
          <w:ilvl w:val="0"/>
          <w:numId w:val="3"/>
        </w:numPr>
        <w:autoSpaceDE w:val="0"/>
        <w:autoSpaceDN w:val="0"/>
        <w:adjustRightInd w:val="0"/>
        <w:ind w:hanging="720"/>
        <w:jc w:val="both"/>
      </w:pPr>
      <w:r w:rsidRPr="00803DB8">
        <w:t>New parking lanes, new curb and gutter</w:t>
      </w:r>
    </w:p>
    <w:p w:rsidR="00C53B82" w:rsidRPr="00803DB8" w:rsidRDefault="00C53B82" w:rsidP="009219F7">
      <w:pPr>
        <w:numPr>
          <w:ilvl w:val="0"/>
          <w:numId w:val="3"/>
        </w:numPr>
        <w:autoSpaceDE w:val="0"/>
        <w:autoSpaceDN w:val="0"/>
        <w:adjustRightInd w:val="0"/>
        <w:ind w:hanging="720"/>
        <w:jc w:val="both"/>
      </w:pPr>
      <w:r w:rsidRPr="00803DB8">
        <w:t>Utility adjustments that do not have prior rights</w:t>
      </w:r>
    </w:p>
    <w:p w:rsidR="00C53B82" w:rsidRPr="00803DB8" w:rsidRDefault="00C53B82" w:rsidP="009219F7">
      <w:pPr>
        <w:numPr>
          <w:ilvl w:val="0"/>
          <w:numId w:val="3"/>
        </w:numPr>
        <w:autoSpaceDE w:val="0"/>
        <w:autoSpaceDN w:val="0"/>
        <w:adjustRightInd w:val="0"/>
        <w:ind w:hanging="720"/>
        <w:jc w:val="both"/>
      </w:pPr>
      <w:r w:rsidRPr="00803DB8">
        <w:t xml:space="preserve">Materials </w:t>
      </w:r>
      <w:r w:rsidR="009219F7" w:rsidRPr="00803DB8">
        <w:t>r</w:t>
      </w:r>
      <w:r w:rsidRPr="00803DB8">
        <w:t>eport or other planning activity</w:t>
      </w:r>
    </w:p>
    <w:p w:rsidR="00C53B82" w:rsidRPr="00803DB8" w:rsidRDefault="00C53B82" w:rsidP="009219F7">
      <w:pPr>
        <w:numPr>
          <w:ilvl w:val="0"/>
          <w:numId w:val="3"/>
        </w:numPr>
        <w:autoSpaceDE w:val="0"/>
        <w:autoSpaceDN w:val="0"/>
        <w:adjustRightInd w:val="0"/>
        <w:ind w:hanging="720"/>
        <w:jc w:val="both"/>
      </w:pPr>
      <w:r w:rsidRPr="00803DB8">
        <w:t xml:space="preserve">Environmental </w:t>
      </w:r>
      <w:r w:rsidR="009219F7" w:rsidRPr="00803DB8">
        <w:t>d</w:t>
      </w:r>
      <w:r w:rsidRPr="00803DB8">
        <w:t>ocumentation</w:t>
      </w:r>
    </w:p>
    <w:p w:rsidR="00C53B82" w:rsidRPr="00803DB8" w:rsidRDefault="00C53B82" w:rsidP="009219F7">
      <w:pPr>
        <w:numPr>
          <w:ilvl w:val="0"/>
          <w:numId w:val="3"/>
        </w:numPr>
        <w:autoSpaceDE w:val="0"/>
        <w:autoSpaceDN w:val="0"/>
        <w:adjustRightInd w:val="0"/>
        <w:ind w:hanging="720"/>
        <w:jc w:val="both"/>
      </w:pPr>
      <w:r w:rsidRPr="00803DB8">
        <w:t xml:space="preserve">Retroactive </w:t>
      </w:r>
      <w:r w:rsidR="009219F7" w:rsidRPr="00803DB8">
        <w:t>d</w:t>
      </w:r>
      <w:r w:rsidRPr="00803DB8">
        <w:t xml:space="preserve">esign </w:t>
      </w:r>
      <w:r w:rsidR="009219F7" w:rsidRPr="00803DB8">
        <w:t>e</w:t>
      </w:r>
      <w:r w:rsidRPr="00803DB8">
        <w:t>ngineering</w:t>
      </w:r>
    </w:p>
    <w:p w:rsidR="00C53B82" w:rsidRPr="00803DB8" w:rsidRDefault="00C53B82" w:rsidP="009219F7">
      <w:pPr>
        <w:numPr>
          <w:ilvl w:val="0"/>
          <w:numId w:val="3"/>
        </w:numPr>
        <w:autoSpaceDE w:val="0"/>
        <w:autoSpaceDN w:val="0"/>
        <w:adjustRightInd w:val="0"/>
        <w:ind w:hanging="720"/>
        <w:jc w:val="both"/>
      </w:pPr>
      <w:r w:rsidRPr="00803DB8">
        <w:t xml:space="preserve">Expenditures incurred prior to E-76 approval for the respective project phase </w:t>
      </w:r>
    </w:p>
    <w:p w:rsidR="00C53B82" w:rsidRPr="00803DB8" w:rsidRDefault="00C53B82" w:rsidP="009E2078">
      <w:pPr>
        <w:autoSpaceDE w:val="0"/>
        <w:autoSpaceDN w:val="0"/>
        <w:adjustRightInd w:val="0"/>
        <w:jc w:val="both"/>
        <w:rPr>
          <w:b/>
          <w:bCs/>
          <w:sz w:val="28"/>
          <w:szCs w:val="28"/>
        </w:rPr>
      </w:pPr>
    </w:p>
    <w:p w:rsidR="009E2078" w:rsidRPr="00803DB8" w:rsidRDefault="009E2078" w:rsidP="008B7BBB">
      <w:pPr>
        <w:autoSpaceDE w:val="0"/>
        <w:autoSpaceDN w:val="0"/>
        <w:adjustRightInd w:val="0"/>
        <w:jc w:val="both"/>
        <w:outlineLvl w:val="1"/>
        <w:rPr>
          <w:b/>
          <w:bCs/>
          <w:sz w:val="28"/>
          <w:szCs w:val="28"/>
          <w:u w:val="single"/>
        </w:rPr>
      </w:pPr>
      <w:r w:rsidRPr="00803DB8">
        <w:rPr>
          <w:b/>
          <w:bCs/>
          <w:sz w:val="28"/>
          <w:szCs w:val="28"/>
          <w:u w:val="single"/>
        </w:rPr>
        <w:lastRenderedPageBreak/>
        <w:t>Project Eligibility</w:t>
      </w:r>
      <w:r w:rsidR="0023121F" w:rsidRPr="00803DB8">
        <w:rPr>
          <w:b/>
          <w:bCs/>
          <w:sz w:val="28"/>
          <w:szCs w:val="28"/>
          <w:u w:val="single"/>
        </w:rPr>
        <w:t xml:space="preserve"> and Funding</w:t>
      </w:r>
    </w:p>
    <w:p w:rsidR="009E2078" w:rsidRPr="00803DB8" w:rsidRDefault="009E2078" w:rsidP="009E2078">
      <w:pPr>
        <w:autoSpaceDE w:val="0"/>
        <w:autoSpaceDN w:val="0"/>
        <w:adjustRightInd w:val="0"/>
        <w:jc w:val="both"/>
      </w:pPr>
    </w:p>
    <w:p w:rsidR="009E2078" w:rsidRPr="00803DB8" w:rsidRDefault="009E2078" w:rsidP="009E2078">
      <w:pPr>
        <w:autoSpaceDE w:val="0"/>
        <w:autoSpaceDN w:val="0"/>
        <w:adjustRightInd w:val="0"/>
        <w:jc w:val="both"/>
      </w:pPr>
      <w:r w:rsidRPr="00DA5EC4">
        <w:rPr>
          <w:b/>
        </w:rPr>
        <w:t xml:space="preserve">Projects submitted for this program must be </w:t>
      </w:r>
      <w:r w:rsidR="001D576C" w:rsidRPr="00DA5EC4">
        <w:rPr>
          <w:b/>
        </w:rPr>
        <w:t xml:space="preserve">federally eligible </w:t>
      </w:r>
      <w:r w:rsidR="000435D2" w:rsidRPr="00DA5EC4">
        <w:rPr>
          <w:b/>
        </w:rPr>
        <w:t>and</w:t>
      </w:r>
      <w:r w:rsidR="001D576C" w:rsidRPr="00DA5EC4">
        <w:rPr>
          <w:b/>
        </w:rPr>
        <w:t xml:space="preserve"> on the MPAH</w:t>
      </w:r>
      <w:r w:rsidRPr="00DA5EC4">
        <w:rPr>
          <w:b/>
        </w:rPr>
        <w:t>.</w:t>
      </w:r>
      <w:r w:rsidRPr="00DA5EC4">
        <w:t xml:space="preserve"> Streets or roads </w:t>
      </w:r>
      <w:r w:rsidR="00AD2B49" w:rsidRPr="00DA5EC4">
        <w:t xml:space="preserve">that are functionally classified as Minor Collector or above are eligible. Functional Classifications are identified on the California Road System Map.  </w:t>
      </w:r>
      <w:hyperlink r:id="rId11" w:history="1">
        <w:r w:rsidR="00AD2B49" w:rsidRPr="00DA5EC4">
          <w:rPr>
            <w:rStyle w:val="Hyperlink"/>
          </w:rPr>
          <w:t>http://www.dot.ca.gov/hq/tsip/hseb/crs_maps/</w:t>
        </w:r>
      </w:hyperlink>
      <w:r w:rsidR="00AD2B49" w:rsidRPr="00DA5EC4">
        <w:t xml:space="preserve">. </w:t>
      </w:r>
      <w:r w:rsidRPr="00DA5EC4">
        <w:t>In addition, only arterials designated by local</w:t>
      </w:r>
      <w:r w:rsidRPr="00803DB8">
        <w:t xml:space="preserve"> </w:t>
      </w:r>
      <w:r w:rsidR="00AD2B49">
        <w:t>a</w:t>
      </w:r>
      <w:r w:rsidRPr="00803DB8">
        <w:t xml:space="preserve">gencies’ Pavement Management Plans (PMP) as having a PCI of </w:t>
      </w:r>
      <w:r w:rsidR="009E6275" w:rsidRPr="00803DB8">
        <w:t xml:space="preserve">85 </w:t>
      </w:r>
      <w:r w:rsidRPr="00803DB8">
        <w:t>or less</w:t>
      </w:r>
      <w:r w:rsidR="009E6275" w:rsidRPr="00803DB8">
        <w:t xml:space="preserve"> for preventative maintenance and 74 or less for surface treatment greater than one inch thickness</w:t>
      </w:r>
      <w:r w:rsidRPr="00803DB8">
        <w:t xml:space="preserve"> in accordance with the following table shall be eligible for funding. Thickness may be adjusted for rubberized asphalt according to industry and standard practices.</w:t>
      </w:r>
      <w:r w:rsidR="00355BBC" w:rsidRPr="00803DB8">
        <w:t xml:space="preserve">  </w:t>
      </w:r>
    </w:p>
    <w:p w:rsidR="003A7D53" w:rsidRPr="00803DB8" w:rsidRDefault="003A7D53" w:rsidP="003A7D53">
      <w:pPr>
        <w:autoSpaceDE w:val="0"/>
        <w:autoSpaceDN w:val="0"/>
        <w:adjustRightInd w:val="0"/>
        <w:jc w:val="both"/>
      </w:pPr>
    </w:p>
    <w:p w:rsidR="003A7D53" w:rsidRPr="00803DB8" w:rsidRDefault="003A7D53" w:rsidP="003A7D53">
      <w:pPr>
        <w:autoSpaceDE w:val="0"/>
        <w:autoSpaceDN w:val="0"/>
        <w:adjustRightInd w:val="0"/>
        <w:jc w:val="both"/>
      </w:pPr>
      <w:r w:rsidRPr="00803DB8">
        <w:t xml:space="preserve">Additionally, to qualify for this program the project must be implemented within a </w:t>
      </w:r>
      <w:r w:rsidR="009219F7" w:rsidRPr="00803DB8">
        <w:t>three</w:t>
      </w:r>
      <w:r w:rsidRPr="00803DB8">
        <w:t>-year timeframe. Please specify if your project will meet this deadline. Please note that after three years, your project will lose the funding if it has not yet been completed.</w:t>
      </w:r>
    </w:p>
    <w:p w:rsidR="009E2078" w:rsidRPr="00803DB8" w:rsidRDefault="009E2078" w:rsidP="009E2078">
      <w:pPr>
        <w:autoSpaceDE w:val="0"/>
        <w:autoSpaceDN w:val="0"/>
        <w:adjustRightInd w:val="0"/>
        <w:jc w:val="both"/>
        <w:rPr>
          <w:b/>
          <w:bCs/>
        </w:rPr>
      </w:pPr>
    </w:p>
    <w:p w:rsidR="009E2078" w:rsidRPr="00803DB8" w:rsidRDefault="00692168" w:rsidP="009E2078">
      <w:pPr>
        <w:autoSpaceDE w:val="0"/>
        <w:autoSpaceDN w:val="0"/>
        <w:adjustRightInd w:val="0"/>
        <w:jc w:val="center"/>
        <w:rPr>
          <w:b/>
          <w:bCs/>
        </w:rPr>
      </w:pPr>
      <w:r w:rsidRPr="00803DB8">
        <w:rPr>
          <w:b/>
          <w:bCs/>
        </w:rPr>
        <w:t xml:space="preserve">Table 1: </w:t>
      </w:r>
      <w:r w:rsidR="009E2078" w:rsidRPr="00803DB8">
        <w:rPr>
          <w:b/>
          <w:bCs/>
        </w:rPr>
        <w:t>Pavement Condition Assessment Standards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459"/>
        <w:gridCol w:w="2530"/>
        <w:gridCol w:w="2024"/>
      </w:tblGrid>
      <w:tr w:rsidR="009E2078" w:rsidRPr="00803DB8" w:rsidTr="006E61D3">
        <w:trPr>
          <w:trHeight w:val="504"/>
          <w:jc w:val="center"/>
        </w:trPr>
        <w:tc>
          <w:tcPr>
            <w:tcW w:w="2131" w:type="dxa"/>
            <w:shd w:val="clear" w:color="auto" w:fill="BFBFBF"/>
            <w:vAlign w:val="center"/>
          </w:tcPr>
          <w:p w:rsidR="009E2078" w:rsidRPr="00803DB8" w:rsidRDefault="009E2078" w:rsidP="006E61D3">
            <w:pPr>
              <w:autoSpaceDE w:val="0"/>
              <w:autoSpaceDN w:val="0"/>
              <w:adjustRightInd w:val="0"/>
              <w:jc w:val="center"/>
              <w:rPr>
                <w:b/>
                <w:bCs/>
              </w:rPr>
            </w:pPr>
            <w:r w:rsidRPr="00803DB8">
              <w:rPr>
                <w:b/>
                <w:bCs/>
              </w:rPr>
              <w:t>Condition Category</w:t>
            </w:r>
          </w:p>
        </w:tc>
        <w:tc>
          <w:tcPr>
            <w:tcW w:w="2459" w:type="dxa"/>
            <w:shd w:val="clear" w:color="auto" w:fill="BFBFBF"/>
            <w:vAlign w:val="center"/>
          </w:tcPr>
          <w:p w:rsidR="009E2078" w:rsidRPr="00803DB8" w:rsidRDefault="009E2078" w:rsidP="006E61D3">
            <w:pPr>
              <w:autoSpaceDE w:val="0"/>
              <w:autoSpaceDN w:val="0"/>
              <w:adjustRightInd w:val="0"/>
              <w:jc w:val="center"/>
              <w:rPr>
                <w:b/>
                <w:bCs/>
              </w:rPr>
            </w:pPr>
            <w:r w:rsidRPr="00803DB8">
              <w:rPr>
                <w:b/>
                <w:bCs/>
              </w:rPr>
              <w:t>PCI Thresholds</w:t>
            </w:r>
          </w:p>
        </w:tc>
        <w:tc>
          <w:tcPr>
            <w:tcW w:w="2530" w:type="dxa"/>
            <w:shd w:val="clear" w:color="auto" w:fill="BFBFBF"/>
            <w:vAlign w:val="center"/>
          </w:tcPr>
          <w:p w:rsidR="009E2078" w:rsidRPr="00803DB8" w:rsidRDefault="009E2078" w:rsidP="006E61D3">
            <w:pPr>
              <w:autoSpaceDE w:val="0"/>
              <w:autoSpaceDN w:val="0"/>
              <w:adjustRightInd w:val="0"/>
              <w:jc w:val="center"/>
              <w:rPr>
                <w:b/>
                <w:bCs/>
              </w:rPr>
            </w:pPr>
            <w:r w:rsidRPr="00803DB8">
              <w:rPr>
                <w:b/>
                <w:bCs/>
              </w:rPr>
              <w:t>Treatment</w:t>
            </w:r>
            <w:r w:rsidR="00BF01B0" w:rsidRPr="00803DB8">
              <w:rPr>
                <w:b/>
                <w:bCs/>
              </w:rPr>
              <w:t>*</w:t>
            </w:r>
          </w:p>
        </w:tc>
        <w:tc>
          <w:tcPr>
            <w:tcW w:w="2024" w:type="dxa"/>
            <w:shd w:val="clear" w:color="auto" w:fill="BFBFBF"/>
            <w:vAlign w:val="center"/>
          </w:tcPr>
          <w:p w:rsidR="009E2078" w:rsidRPr="00803DB8" w:rsidRDefault="008E3F9C" w:rsidP="006E61D3">
            <w:pPr>
              <w:autoSpaceDE w:val="0"/>
              <w:autoSpaceDN w:val="0"/>
              <w:adjustRightInd w:val="0"/>
              <w:jc w:val="center"/>
              <w:rPr>
                <w:b/>
                <w:bCs/>
              </w:rPr>
            </w:pPr>
            <w:r w:rsidRPr="00803DB8">
              <w:rPr>
                <w:b/>
                <w:bCs/>
              </w:rPr>
              <w:t xml:space="preserve">APM </w:t>
            </w:r>
            <w:r w:rsidR="009E2078" w:rsidRPr="00803DB8">
              <w:rPr>
                <w:b/>
                <w:bCs/>
              </w:rPr>
              <w:t>Eligible</w:t>
            </w:r>
          </w:p>
        </w:tc>
      </w:tr>
      <w:tr w:rsidR="009E2078" w:rsidRPr="00803DB8" w:rsidTr="006E61D3">
        <w:trPr>
          <w:trHeight w:hRule="exact" w:val="432"/>
          <w:jc w:val="center"/>
        </w:trPr>
        <w:tc>
          <w:tcPr>
            <w:tcW w:w="2131" w:type="dxa"/>
            <w:vAlign w:val="center"/>
          </w:tcPr>
          <w:p w:rsidR="009E2078" w:rsidRPr="00803DB8" w:rsidRDefault="009E2078" w:rsidP="006E61D3">
            <w:pPr>
              <w:autoSpaceDE w:val="0"/>
              <w:autoSpaceDN w:val="0"/>
              <w:adjustRightInd w:val="0"/>
              <w:jc w:val="center"/>
              <w:rPr>
                <w:bCs/>
              </w:rPr>
            </w:pPr>
            <w:r w:rsidRPr="00803DB8">
              <w:rPr>
                <w:bCs/>
              </w:rPr>
              <w:t>Very Good</w:t>
            </w:r>
          </w:p>
        </w:tc>
        <w:tc>
          <w:tcPr>
            <w:tcW w:w="2459" w:type="dxa"/>
            <w:vAlign w:val="center"/>
          </w:tcPr>
          <w:p w:rsidR="009E2078" w:rsidRPr="00803DB8" w:rsidRDefault="009E2078" w:rsidP="006E61D3">
            <w:pPr>
              <w:autoSpaceDE w:val="0"/>
              <w:autoSpaceDN w:val="0"/>
              <w:adjustRightInd w:val="0"/>
              <w:jc w:val="center"/>
              <w:rPr>
                <w:bCs/>
              </w:rPr>
            </w:pPr>
            <w:r w:rsidRPr="00803DB8">
              <w:rPr>
                <w:bCs/>
              </w:rPr>
              <w:t>86-100</w:t>
            </w:r>
          </w:p>
        </w:tc>
        <w:tc>
          <w:tcPr>
            <w:tcW w:w="2530" w:type="dxa"/>
            <w:vAlign w:val="center"/>
          </w:tcPr>
          <w:p w:rsidR="009E2078" w:rsidRPr="00803DB8" w:rsidRDefault="009E2078" w:rsidP="006E61D3">
            <w:pPr>
              <w:autoSpaceDE w:val="0"/>
              <w:autoSpaceDN w:val="0"/>
              <w:adjustRightInd w:val="0"/>
              <w:jc w:val="center"/>
              <w:rPr>
                <w:bCs/>
              </w:rPr>
            </w:pPr>
            <w:r w:rsidRPr="00803DB8">
              <w:rPr>
                <w:bCs/>
              </w:rPr>
              <w:t>None Proposed</w:t>
            </w:r>
          </w:p>
        </w:tc>
        <w:tc>
          <w:tcPr>
            <w:tcW w:w="2024" w:type="dxa"/>
            <w:vAlign w:val="center"/>
          </w:tcPr>
          <w:p w:rsidR="009E2078" w:rsidRPr="00803DB8" w:rsidRDefault="009E2078" w:rsidP="006E61D3">
            <w:pPr>
              <w:autoSpaceDE w:val="0"/>
              <w:autoSpaceDN w:val="0"/>
              <w:adjustRightInd w:val="0"/>
              <w:jc w:val="center"/>
              <w:rPr>
                <w:bCs/>
              </w:rPr>
            </w:pPr>
            <w:r w:rsidRPr="00803DB8">
              <w:rPr>
                <w:bCs/>
              </w:rPr>
              <w:t>No</w:t>
            </w:r>
          </w:p>
        </w:tc>
      </w:tr>
      <w:tr w:rsidR="009E2078" w:rsidRPr="00803DB8" w:rsidTr="006A78A2">
        <w:trPr>
          <w:trHeight w:hRule="exact" w:val="613"/>
          <w:jc w:val="center"/>
        </w:trPr>
        <w:tc>
          <w:tcPr>
            <w:tcW w:w="2131" w:type="dxa"/>
            <w:vAlign w:val="center"/>
          </w:tcPr>
          <w:p w:rsidR="009E2078" w:rsidRPr="00803DB8" w:rsidRDefault="009E2078" w:rsidP="006E61D3">
            <w:pPr>
              <w:autoSpaceDE w:val="0"/>
              <w:autoSpaceDN w:val="0"/>
              <w:adjustRightInd w:val="0"/>
              <w:jc w:val="center"/>
              <w:rPr>
                <w:bCs/>
              </w:rPr>
            </w:pPr>
            <w:r w:rsidRPr="00803DB8">
              <w:rPr>
                <w:bCs/>
              </w:rPr>
              <w:t>Good</w:t>
            </w:r>
          </w:p>
        </w:tc>
        <w:tc>
          <w:tcPr>
            <w:tcW w:w="2459" w:type="dxa"/>
            <w:vAlign w:val="center"/>
          </w:tcPr>
          <w:p w:rsidR="009E2078" w:rsidRPr="00803DB8" w:rsidRDefault="009E2078" w:rsidP="006E61D3">
            <w:pPr>
              <w:autoSpaceDE w:val="0"/>
              <w:autoSpaceDN w:val="0"/>
              <w:adjustRightInd w:val="0"/>
              <w:jc w:val="center"/>
              <w:rPr>
                <w:bCs/>
              </w:rPr>
            </w:pPr>
            <w:r w:rsidRPr="00803DB8">
              <w:rPr>
                <w:bCs/>
              </w:rPr>
              <w:t>75-85</w:t>
            </w:r>
          </w:p>
        </w:tc>
        <w:tc>
          <w:tcPr>
            <w:tcW w:w="2530" w:type="dxa"/>
            <w:vAlign w:val="center"/>
          </w:tcPr>
          <w:p w:rsidR="009E2078" w:rsidRPr="00803DB8" w:rsidRDefault="006A78A2" w:rsidP="006E61D3">
            <w:pPr>
              <w:autoSpaceDE w:val="0"/>
              <w:autoSpaceDN w:val="0"/>
              <w:adjustRightInd w:val="0"/>
              <w:jc w:val="center"/>
              <w:rPr>
                <w:bCs/>
              </w:rPr>
            </w:pPr>
            <w:r w:rsidRPr="00803DB8">
              <w:rPr>
                <w:bCs/>
              </w:rPr>
              <w:t>Preventative Maintenance</w:t>
            </w:r>
          </w:p>
          <w:p w:rsidR="006A78A2" w:rsidRPr="00803DB8" w:rsidRDefault="006A78A2" w:rsidP="006E61D3">
            <w:pPr>
              <w:autoSpaceDE w:val="0"/>
              <w:autoSpaceDN w:val="0"/>
              <w:adjustRightInd w:val="0"/>
              <w:jc w:val="center"/>
              <w:rPr>
                <w:bCs/>
              </w:rPr>
            </w:pPr>
          </w:p>
        </w:tc>
        <w:tc>
          <w:tcPr>
            <w:tcW w:w="2024" w:type="dxa"/>
            <w:vAlign w:val="center"/>
          </w:tcPr>
          <w:p w:rsidR="009E2078" w:rsidRPr="00803DB8" w:rsidRDefault="006A78A2" w:rsidP="006E61D3">
            <w:pPr>
              <w:autoSpaceDE w:val="0"/>
              <w:autoSpaceDN w:val="0"/>
              <w:adjustRightInd w:val="0"/>
              <w:jc w:val="center"/>
              <w:rPr>
                <w:bCs/>
              </w:rPr>
            </w:pPr>
            <w:r w:rsidRPr="00803DB8">
              <w:rPr>
                <w:bCs/>
              </w:rPr>
              <w:t>Yes</w:t>
            </w:r>
          </w:p>
        </w:tc>
      </w:tr>
      <w:tr w:rsidR="009E2078" w:rsidRPr="00803DB8" w:rsidTr="006E61D3">
        <w:trPr>
          <w:trHeight w:hRule="exact" w:val="432"/>
          <w:jc w:val="center"/>
        </w:trPr>
        <w:tc>
          <w:tcPr>
            <w:tcW w:w="2131" w:type="dxa"/>
            <w:vAlign w:val="center"/>
          </w:tcPr>
          <w:p w:rsidR="009E2078" w:rsidRPr="00803DB8" w:rsidRDefault="009E2078" w:rsidP="006E61D3">
            <w:pPr>
              <w:autoSpaceDE w:val="0"/>
              <w:autoSpaceDN w:val="0"/>
              <w:adjustRightInd w:val="0"/>
              <w:jc w:val="center"/>
              <w:rPr>
                <w:bCs/>
              </w:rPr>
            </w:pPr>
            <w:r w:rsidRPr="00803DB8">
              <w:rPr>
                <w:bCs/>
              </w:rPr>
              <w:t>Fair</w:t>
            </w:r>
          </w:p>
        </w:tc>
        <w:tc>
          <w:tcPr>
            <w:tcW w:w="2459" w:type="dxa"/>
            <w:vAlign w:val="center"/>
          </w:tcPr>
          <w:p w:rsidR="009E2078" w:rsidRPr="00803DB8" w:rsidRDefault="009E2078" w:rsidP="006E61D3">
            <w:pPr>
              <w:autoSpaceDE w:val="0"/>
              <w:autoSpaceDN w:val="0"/>
              <w:adjustRightInd w:val="0"/>
              <w:jc w:val="center"/>
              <w:rPr>
                <w:bCs/>
              </w:rPr>
            </w:pPr>
            <w:r w:rsidRPr="00803DB8">
              <w:rPr>
                <w:bCs/>
              </w:rPr>
              <w:t>60-74</w:t>
            </w:r>
          </w:p>
        </w:tc>
        <w:tc>
          <w:tcPr>
            <w:tcW w:w="2530" w:type="dxa"/>
            <w:vAlign w:val="center"/>
          </w:tcPr>
          <w:p w:rsidR="009E2078" w:rsidRPr="00803DB8" w:rsidRDefault="009E2078" w:rsidP="006E61D3">
            <w:pPr>
              <w:autoSpaceDE w:val="0"/>
              <w:autoSpaceDN w:val="0"/>
              <w:adjustRightInd w:val="0"/>
              <w:jc w:val="center"/>
              <w:rPr>
                <w:bCs/>
              </w:rPr>
            </w:pPr>
            <w:r w:rsidRPr="00803DB8">
              <w:rPr>
                <w:bCs/>
              </w:rPr>
              <w:t>Thin Overlay</w:t>
            </w:r>
          </w:p>
        </w:tc>
        <w:tc>
          <w:tcPr>
            <w:tcW w:w="2024" w:type="dxa"/>
            <w:vAlign w:val="center"/>
          </w:tcPr>
          <w:p w:rsidR="009E2078" w:rsidRPr="00803DB8" w:rsidRDefault="009E2078" w:rsidP="006E61D3">
            <w:pPr>
              <w:autoSpaceDE w:val="0"/>
              <w:autoSpaceDN w:val="0"/>
              <w:adjustRightInd w:val="0"/>
              <w:jc w:val="center"/>
              <w:rPr>
                <w:bCs/>
              </w:rPr>
            </w:pPr>
            <w:r w:rsidRPr="00803DB8">
              <w:rPr>
                <w:bCs/>
              </w:rPr>
              <w:t>Yes</w:t>
            </w:r>
          </w:p>
        </w:tc>
      </w:tr>
      <w:tr w:rsidR="009E2078" w:rsidRPr="00803DB8" w:rsidTr="006E61D3">
        <w:trPr>
          <w:trHeight w:hRule="exact" w:val="432"/>
          <w:jc w:val="center"/>
        </w:trPr>
        <w:tc>
          <w:tcPr>
            <w:tcW w:w="2131" w:type="dxa"/>
            <w:vAlign w:val="center"/>
          </w:tcPr>
          <w:p w:rsidR="009E2078" w:rsidRPr="00803DB8" w:rsidRDefault="009E2078" w:rsidP="006E61D3">
            <w:pPr>
              <w:autoSpaceDE w:val="0"/>
              <w:autoSpaceDN w:val="0"/>
              <w:adjustRightInd w:val="0"/>
              <w:jc w:val="center"/>
              <w:rPr>
                <w:bCs/>
              </w:rPr>
            </w:pPr>
            <w:r w:rsidRPr="00803DB8">
              <w:rPr>
                <w:bCs/>
              </w:rPr>
              <w:t>Poor</w:t>
            </w:r>
          </w:p>
        </w:tc>
        <w:tc>
          <w:tcPr>
            <w:tcW w:w="2459" w:type="dxa"/>
            <w:vAlign w:val="center"/>
          </w:tcPr>
          <w:p w:rsidR="009E2078" w:rsidRPr="00803DB8" w:rsidRDefault="009E2078" w:rsidP="006E61D3">
            <w:pPr>
              <w:autoSpaceDE w:val="0"/>
              <w:autoSpaceDN w:val="0"/>
              <w:adjustRightInd w:val="0"/>
              <w:jc w:val="center"/>
              <w:rPr>
                <w:bCs/>
              </w:rPr>
            </w:pPr>
            <w:r w:rsidRPr="00803DB8">
              <w:rPr>
                <w:bCs/>
              </w:rPr>
              <w:t>41-59</w:t>
            </w:r>
          </w:p>
        </w:tc>
        <w:tc>
          <w:tcPr>
            <w:tcW w:w="2530" w:type="dxa"/>
            <w:vAlign w:val="center"/>
          </w:tcPr>
          <w:p w:rsidR="009E2078" w:rsidRPr="00803DB8" w:rsidRDefault="009E2078" w:rsidP="006E61D3">
            <w:pPr>
              <w:autoSpaceDE w:val="0"/>
              <w:autoSpaceDN w:val="0"/>
              <w:adjustRightInd w:val="0"/>
              <w:jc w:val="center"/>
              <w:rPr>
                <w:bCs/>
              </w:rPr>
            </w:pPr>
            <w:r w:rsidRPr="00803DB8">
              <w:rPr>
                <w:bCs/>
              </w:rPr>
              <w:t>Thick Overlay</w:t>
            </w:r>
          </w:p>
        </w:tc>
        <w:tc>
          <w:tcPr>
            <w:tcW w:w="2024" w:type="dxa"/>
            <w:vAlign w:val="center"/>
          </w:tcPr>
          <w:p w:rsidR="009E2078" w:rsidRPr="00803DB8" w:rsidRDefault="009E2078" w:rsidP="006E61D3">
            <w:pPr>
              <w:autoSpaceDE w:val="0"/>
              <w:autoSpaceDN w:val="0"/>
              <w:adjustRightInd w:val="0"/>
              <w:jc w:val="center"/>
              <w:rPr>
                <w:bCs/>
              </w:rPr>
            </w:pPr>
            <w:r w:rsidRPr="00803DB8">
              <w:rPr>
                <w:bCs/>
              </w:rPr>
              <w:t>Yes</w:t>
            </w:r>
          </w:p>
        </w:tc>
      </w:tr>
      <w:tr w:rsidR="009E2078" w:rsidRPr="00803DB8" w:rsidTr="006E61D3">
        <w:trPr>
          <w:trHeight w:hRule="exact" w:val="432"/>
          <w:jc w:val="center"/>
        </w:trPr>
        <w:tc>
          <w:tcPr>
            <w:tcW w:w="2131" w:type="dxa"/>
            <w:vAlign w:val="center"/>
          </w:tcPr>
          <w:p w:rsidR="009E2078" w:rsidRPr="00803DB8" w:rsidRDefault="009E2078" w:rsidP="006E61D3">
            <w:pPr>
              <w:autoSpaceDE w:val="0"/>
              <w:autoSpaceDN w:val="0"/>
              <w:adjustRightInd w:val="0"/>
              <w:jc w:val="center"/>
              <w:rPr>
                <w:bCs/>
              </w:rPr>
            </w:pPr>
            <w:r w:rsidRPr="00803DB8">
              <w:rPr>
                <w:bCs/>
              </w:rPr>
              <w:t>Very Poor</w:t>
            </w:r>
          </w:p>
        </w:tc>
        <w:tc>
          <w:tcPr>
            <w:tcW w:w="2459" w:type="dxa"/>
            <w:vAlign w:val="center"/>
          </w:tcPr>
          <w:p w:rsidR="009E2078" w:rsidRPr="00803DB8" w:rsidRDefault="009E2078" w:rsidP="006E61D3">
            <w:pPr>
              <w:autoSpaceDE w:val="0"/>
              <w:autoSpaceDN w:val="0"/>
              <w:adjustRightInd w:val="0"/>
              <w:jc w:val="center"/>
              <w:rPr>
                <w:bCs/>
              </w:rPr>
            </w:pPr>
            <w:r w:rsidRPr="00803DB8">
              <w:rPr>
                <w:bCs/>
              </w:rPr>
              <w:t>0-40</w:t>
            </w:r>
          </w:p>
        </w:tc>
        <w:tc>
          <w:tcPr>
            <w:tcW w:w="2530" w:type="dxa"/>
            <w:vAlign w:val="center"/>
          </w:tcPr>
          <w:p w:rsidR="009E2078" w:rsidRPr="00803DB8" w:rsidRDefault="009E2078" w:rsidP="006E61D3">
            <w:pPr>
              <w:autoSpaceDE w:val="0"/>
              <w:autoSpaceDN w:val="0"/>
              <w:adjustRightInd w:val="0"/>
              <w:jc w:val="center"/>
              <w:rPr>
                <w:bCs/>
              </w:rPr>
            </w:pPr>
            <w:r w:rsidRPr="00803DB8">
              <w:rPr>
                <w:bCs/>
              </w:rPr>
              <w:t>Reconstruction</w:t>
            </w:r>
          </w:p>
        </w:tc>
        <w:tc>
          <w:tcPr>
            <w:tcW w:w="2024" w:type="dxa"/>
            <w:vAlign w:val="center"/>
          </w:tcPr>
          <w:p w:rsidR="009E2078" w:rsidRPr="00803DB8" w:rsidRDefault="009E2078" w:rsidP="006E61D3">
            <w:pPr>
              <w:autoSpaceDE w:val="0"/>
              <w:autoSpaceDN w:val="0"/>
              <w:adjustRightInd w:val="0"/>
              <w:jc w:val="center"/>
              <w:rPr>
                <w:bCs/>
              </w:rPr>
            </w:pPr>
            <w:r w:rsidRPr="00803DB8">
              <w:rPr>
                <w:bCs/>
              </w:rPr>
              <w:t>Yes</w:t>
            </w:r>
          </w:p>
        </w:tc>
      </w:tr>
    </w:tbl>
    <w:p w:rsidR="00BB7541" w:rsidRPr="00803DB8" w:rsidRDefault="00BF01B0" w:rsidP="00BC6B10">
      <w:pPr>
        <w:autoSpaceDE w:val="0"/>
        <w:autoSpaceDN w:val="0"/>
        <w:adjustRightInd w:val="0"/>
        <w:spacing w:line="286" w:lineRule="exact"/>
        <w:ind w:right="-20"/>
        <w:rPr>
          <w:rFonts w:eastAsiaTheme="minorHAnsi"/>
          <w:bCs/>
        </w:rPr>
      </w:pPr>
      <w:r w:rsidRPr="00803DB8">
        <w:rPr>
          <w:rFonts w:eastAsiaTheme="minorHAnsi"/>
          <w:bCs/>
        </w:rPr>
        <w:t>*</w:t>
      </w:r>
      <w:r w:rsidR="00B05ED2" w:rsidRPr="00803DB8">
        <w:rPr>
          <w:rFonts w:eastAsiaTheme="minorHAnsi"/>
          <w:bCs/>
        </w:rPr>
        <w:t>Alternative treatments are eligible based on pavement management plans and material reports.</w:t>
      </w:r>
    </w:p>
    <w:p w:rsidR="00BF01B0" w:rsidRPr="00803DB8" w:rsidRDefault="00BF01B0" w:rsidP="00BC6B10">
      <w:pPr>
        <w:autoSpaceDE w:val="0"/>
        <w:autoSpaceDN w:val="0"/>
        <w:adjustRightInd w:val="0"/>
        <w:spacing w:line="286" w:lineRule="exact"/>
        <w:ind w:right="-20"/>
        <w:rPr>
          <w:rFonts w:eastAsiaTheme="minorHAnsi"/>
          <w:b/>
          <w:bCs/>
        </w:rPr>
      </w:pPr>
    </w:p>
    <w:p w:rsidR="009E2078" w:rsidRPr="00803DB8" w:rsidRDefault="0023121F" w:rsidP="00BC6B10">
      <w:pPr>
        <w:autoSpaceDE w:val="0"/>
        <w:autoSpaceDN w:val="0"/>
        <w:adjustRightInd w:val="0"/>
        <w:spacing w:line="286" w:lineRule="exact"/>
        <w:ind w:right="-20"/>
        <w:rPr>
          <w:rFonts w:eastAsiaTheme="minorHAnsi"/>
          <w:b/>
          <w:bCs/>
        </w:rPr>
      </w:pPr>
      <w:r w:rsidRPr="00803DB8">
        <w:rPr>
          <w:rFonts w:eastAsiaTheme="minorHAnsi"/>
          <w:b/>
          <w:bCs/>
        </w:rPr>
        <w:t>Funding</w:t>
      </w:r>
    </w:p>
    <w:p w:rsidR="00AC2D04" w:rsidRPr="00803DB8" w:rsidRDefault="00AC2D04" w:rsidP="009E2078">
      <w:pPr>
        <w:autoSpaceDE w:val="0"/>
        <w:autoSpaceDN w:val="0"/>
        <w:adjustRightInd w:val="0"/>
        <w:jc w:val="both"/>
      </w:pPr>
    </w:p>
    <w:p w:rsidR="002C371E" w:rsidRPr="00803DB8" w:rsidRDefault="004A4996" w:rsidP="002719C4">
      <w:pPr>
        <w:pStyle w:val="Default"/>
        <w:shd w:val="clear" w:color="auto" w:fill="FFFFFF" w:themeFill="background1"/>
        <w:jc w:val="both"/>
        <w:rPr>
          <w:bCs/>
        </w:rPr>
      </w:pPr>
      <w:r w:rsidRPr="00803DB8">
        <w:t xml:space="preserve">There will be approximately $20 million in </w:t>
      </w:r>
      <w:r w:rsidR="009219F7" w:rsidRPr="00803DB8">
        <w:t>f</w:t>
      </w:r>
      <w:r w:rsidRPr="00803DB8">
        <w:t xml:space="preserve">ederal Regional Surface Transportation </w:t>
      </w:r>
      <w:r w:rsidR="009219F7" w:rsidRPr="00803DB8">
        <w:br/>
      </w:r>
      <w:r w:rsidRPr="00803DB8">
        <w:t>Program</w:t>
      </w:r>
      <w:r w:rsidR="00845539" w:rsidRPr="00803DB8">
        <w:t xml:space="preserve"> (RSTP)</w:t>
      </w:r>
      <w:r w:rsidRPr="00803DB8">
        <w:t xml:space="preserve"> available for projects </w:t>
      </w:r>
      <w:r w:rsidR="001B5A75" w:rsidRPr="00803DB8">
        <w:t xml:space="preserve">in </w:t>
      </w:r>
      <w:r w:rsidR="009219F7" w:rsidRPr="00803DB8">
        <w:t>f</w:t>
      </w:r>
      <w:r w:rsidR="001B5A75" w:rsidRPr="00803DB8">
        <w:t xml:space="preserve">iscal </w:t>
      </w:r>
      <w:r w:rsidR="009219F7" w:rsidRPr="00803DB8">
        <w:t>year (FY) FY 2015-</w:t>
      </w:r>
      <w:r w:rsidR="001B5A75" w:rsidRPr="00803DB8">
        <w:t xml:space="preserve">16 </w:t>
      </w:r>
      <w:r w:rsidRPr="00803DB8">
        <w:t>and e</w:t>
      </w:r>
      <w:r w:rsidR="009E2078" w:rsidRPr="00803DB8">
        <w:t xml:space="preserve">ach </w:t>
      </w:r>
      <w:r w:rsidR="00AE14D2" w:rsidRPr="00803DB8">
        <w:t>APM</w:t>
      </w:r>
      <w:r w:rsidR="009E2078" w:rsidRPr="00803DB8">
        <w:t xml:space="preserve"> grant </w:t>
      </w:r>
      <w:r w:rsidRPr="00803DB8">
        <w:t>must</w:t>
      </w:r>
      <w:r w:rsidR="009E2078" w:rsidRPr="00803DB8">
        <w:t xml:space="preserve"> be a minimum of $250,000 and </w:t>
      </w:r>
      <w:r w:rsidRPr="00803DB8">
        <w:t>maximum</w:t>
      </w:r>
      <w:r w:rsidR="009E2078" w:rsidRPr="00803DB8">
        <w:t xml:space="preserve"> </w:t>
      </w:r>
      <w:r w:rsidRPr="00803DB8">
        <w:t>of</w:t>
      </w:r>
      <w:r w:rsidR="009E2078" w:rsidRPr="00803DB8">
        <w:t xml:space="preserve"> $500,000 in </w:t>
      </w:r>
      <w:r w:rsidR="00940424" w:rsidRPr="00803DB8">
        <w:t>RSTP</w:t>
      </w:r>
      <w:r w:rsidR="009E2078" w:rsidRPr="00803DB8">
        <w:t xml:space="preserve"> funds. </w:t>
      </w:r>
      <w:r w:rsidR="00820BE6" w:rsidRPr="00803DB8">
        <w:t xml:space="preserve"> </w:t>
      </w:r>
      <w:r w:rsidR="009E2078" w:rsidRPr="00803DB8">
        <w:t>However, projects requiring more than $</w:t>
      </w:r>
      <w:r w:rsidR="00940424" w:rsidRPr="00803DB8">
        <w:t>500,000</w:t>
      </w:r>
      <w:r w:rsidR="009E2078" w:rsidRPr="00803DB8">
        <w:t xml:space="preserve"> can be segmented into smaller phases and submitted as individual projects.</w:t>
      </w:r>
      <w:r w:rsidR="00900C93" w:rsidRPr="00803DB8">
        <w:t xml:space="preserve"> </w:t>
      </w:r>
      <w:r w:rsidR="005F1077" w:rsidRPr="00803DB8">
        <w:rPr>
          <w:bCs/>
        </w:rPr>
        <w:t>Agencies will be required to provide 50 percent matching funds for each candidate project</w:t>
      </w:r>
      <w:r w:rsidR="00F6032A" w:rsidRPr="00803DB8">
        <w:rPr>
          <w:bCs/>
        </w:rPr>
        <w:t>.</w:t>
      </w:r>
      <w:r w:rsidR="004645D4" w:rsidRPr="00803DB8">
        <w:rPr>
          <w:bCs/>
        </w:rPr>
        <w:t xml:space="preserve"> Project fun</w:t>
      </w:r>
      <w:r w:rsidR="009219F7" w:rsidRPr="00803DB8">
        <w:rPr>
          <w:bCs/>
        </w:rPr>
        <w:t>ding can be advanced to FY 2014-</w:t>
      </w:r>
      <w:r w:rsidR="004645D4" w:rsidRPr="00803DB8">
        <w:rPr>
          <w:bCs/>
        </w:rPr>
        <w:t xml:space="preserve">15 if documentation can support project readiness. </w:t>
      </w:r>
    </w:p>
    <w:p w:rsidR="00BB7541" w:rsidRPr="00803DB8" w:rsidRDefault="00BB7541" w:rsidP="002C371E">
      <w:pPr>
        <w:pStyle w:val="Default"/>
        <w:jc w:val="both"/>
        <w:rPr>
          <w:bCs/>
        </w:rPr>
      </w:pPr>
    </w:p>
    <w:p w:rsidR="00A11117" w:rsidRPr="00803DB8" w:rsidRDefault="00A11117" w:rsidP="002C371E">
      <w:pPr>
        <w:pStyle w:val="Default"/>
        <w:jc w:val="both"/>
        <w:rPr>
          <w:bCs/>
        </w:rPr>
      </w:pPr>
    </w:p>
    <w:p w:rsidR="00A11117" w:rsidRPr="00803DB8" w:rsidRDefault="00A11117" w:rsidP="002C371E">
      <w:pPr>
        <w:pStyle w:val="Default"/>
        <w:jc w:val="both"/>
        <w:rPr>
          <w:bCs/>
        </w:rPr>
      </w:pPr>
    </w:p>
    <w:p w:rsidR="00A11117" w:rsidRPr="00803DB8" w:rsidRDefault="00A11117" w:rsidP="002C371E">
      <w:pPr>
        <w:pStyle w:val="Default"/>
        <w:jc w:val="both"/>
        <w:rPr>
          <w:bCs/>
        </w:rPr>
      </w:pPr>
    </w:p>
    <w:p w:rsidR="007C37D8" w:rsidRPr="00803DB8" w:rsidRDefault="00CB2340" w:rsidP="007C37D8">
      <w:pPr>
        <w:autoSpaceDE w:val="0"/>
        <w:autoSpaceDN w:val="0"/>
        <w:adjustRightInd w:val="0"/>
        <w:jc w:val="both"/>
        <w:outlineLvl w:val="1"/>
        <w:rPr>
          <w:bCs/>
          <w:sz w:val="28"/>
          <w:szCs w:val="28"/>
        </w:rPr>
      </w:pPr>
      <w:r w:rsidRPr="00803DB8">
        <w:rPr>
          <w:b/>
          <w:bCs/>
          <w:sz w:val="28"/>
          <w:szCs w:val="28"/>
          <w:u w:val="single"/>
        </w:rPr>
        <w:lastRenderedPageBreak/>
        <w:t>Evaluation</w:t>
      </w:r>
      <w:r w:rsidR="0073787B" w:rsidRPr="00803DB8">
        <w:rPr>
          <w:b/>
          <w:bCs/>
          <w:sz w:val="28"/>
          <w:szCs w:val="28"/>
          <w:u w:val="single"/>
        </w:rPr>
        <w:t xml:space="preserve"> </w:t>
      </w:r>
      <w:r w:rsidR="007C37D8" w:rsidRPr="00803DB8">
        <w:rPr>
          <w:b/>
          <w:bCs/>
          <w:sz w:val="28"/>
          <w:szCs w:val="28"/>
          <w:u w:val="single"/>
        </w:rPr>
        <w:t>Criteria</w:t>
      </w:r>
    </w:p>
    <w:p w:rsidR="007C37D8" w:rsidRPr="00803DB8" w:rsidRDefault="007C37D8" w:rsidP="007C37D8">
      <w:pPr>
        <w:autoSpaceDE w:val="0"/>
        <w:autoSpaceDN w:val="0"/>
        <w:adjustRightInd w:val="0"/>
        <w:jc w:val="both"/>
        <w:outlineLvl w:val="1"/>
        <w:rPr>
          <w:bCs/>
          <w:sz w:val="28"/>
          <w:szCs w:val="28"/>
        </w:rPr>
      </w:pPr>
    </w:p>
    <w:p w:rsidR="007C37D8" w:rsidRPr="00803DB8" w:rsidRDefault="00AE14D2" w:rsidP="007C37D8">
      <w:pPr>
        <w:autoSpaceDE w:val="0"/>
        <w:autoSpaceDN w:val="0"/>
        <w:adjustRightInd w:val="0"/>
        <w:jc w:val="both"/>
        <w:outlineLvl w:val="1"/>
        <w:rPr>
          <w:bCs/>
          <w:szCs w:val="28"/>
        </w:rPr>
      </w:pPr>
      <w:r w:rsidRPr="00803DB8">
        <w:rPr>
          <w:bCs/>
          <w:szCs w:val="28"/>
        </w:rPr>
        <w:t>A</w:t>
      </w:r>
      <w:r w:rsidR="008067DA" w:rsidRPr="00803DB8">
        <w:rPr>
          <w:bCs/>
          <w:szCs w:val="28"/>
        </w:rPr>
        <w:t>PM</w:t>
      </w:r>
      <w:r w:rsidR="007C37D8" w:rsidRPr="00803DB8">
        <w:rPr>
          <w:bCs/>
          <w:szCs w:val="28"/>
        </w:rPr>
        <w:t xml:space="preserve"> grant applications will be </w:t>
      </w:r>
      <w:r w:rsidR="00CB2340" w:rsidRPr="00803DB8">
        <w:rPr>
          <w:bCs/>
          <w:szCs w:val="28"/>
        </w:rPr>
        <w:t>evaluated</w:t>
      </w:r>
      <w:r w:rsidR="006007CA" w:rsidRPr="00803DB8">
        <w:rPr>
          <w:bCs/>
          <w:szCs w:val="28"/>
        </w:rPr>
        <w:t xml:space="preserve"> on the following </w:t>
      </w:r>
      <w:r w:rsidR="006007CA" w:rsidRPr="00DA5EC4">
        <w:rPr>
          <w:bCs/>
          <w:szCs w:val="28"/>
        </w:rPr>
        <w:t>criteria</w:t>
      </w:r>
      <w:r w:rsidR="002C240C" w:rsidRPr="00DA5EC4">
        <w:rPr>
          <w:bCs/>
          <w:szCs w:val="28"/>
        </w:rPr>
        <w:t xml:space="preserve"> (Appendix </w:t>
      </w:r>
      <w:r w:rsidR="0081303F" w:rsidRPr="00DA5EC4">
        <w:rPr>
          <w:bCs/>
          <w:szCs w:val="28"/>
        </w:rPr>
        <w:t>2</w:t>
      </w:r>
      <w:r w:rsidR="002C240C" w:rsidRPr="00DA5EC4">
        <w:rPr>
          <w:bCs/>
          <w:szCs w:val="28"/>
        </w:rPr>
        <w:t>)</w:t>
      </w:r>
      <w:r w:rsidR="007C37D8" w:rsidRPr="00DA5EC4">
        <w:rPr>
          <w:bCs/>
          <w:szCs w:val="28"/>
        </w:rPr>
        <w:t>:</w:t>
      </w:r>
    </w:p>
    <w:p w:rsidR="00A35500" w:rsidRPr="00803DB8" w:rsidRDefault="00A35500" w:rsidP="007C37D8">
      <w:pPr>
        <w:autoSpaceDE w:val="0"/>
        <w:autoSpaceDN w:val="0"/>
        <w:adjustRightInd w:val="0"/>
        <w:jc w:val="both"/>
        <w:outlineLvl w:val="1"/>
        <w:rPr>
          <w:bCs/>
          <w:sz w:val="28"/>
          <w:szCs w:val="28"/>
        </w:rPr>
      </w:pPr>
    </w:p>
    <w:p w:rsidR="00040ABB" w:rsidRPr="00803DB8" w:rsidRDefault="00462A69" w:rsidP="00AA4B6F">
      <w:pPr>
        <w:pStyle w:val="ListParagraph"/>
        <w:numPr>
          <w:ilvl w:val="0"/>
          <w:numId w:val="6"/>
        </w:numPr>
        <w:autoSpaceDE w:val="0"/>
        <w:autoSpaceDN w:val="0"/>
        <w:adjustRightInd w:val="0"/>
        <w:ind w:left="720" w:hanging="720"/>
        <w:jc w:val="both"/>
        <w:outlineLvl w:val="1"/>
        <w:rPr>
          <w:bCs/>
          <w:i/>
        </w:rPr>
      </w:pPr>
      <w:r w:rsidRPr="00803DB8">
        <w:rPr>
          <w:b/>
          <w:bCs/>
          <w:i/>
        </w:rPr>
        <w:t>Facility Usage.</w:t>
      </w:r>
      <w:r w:rsidR="00040ABB" w:rsidRPr="00803DB8">
        <w:rPr>
          <w:bCs/>
          <w:i/>
        </w:rPr>
        <w:t xml:space="preserve"> </w:t>
      </w:r>
      <w:r w:rsidR="00040ABB" w:rsidRPr="00803DB8">
        <w:rPr>
          <w:bCs/>
        </w:rPr>
        <w:t>Average daily traffic (ADT)</w:t>
      </w:r>
      <w:r w:rsidR="00A1178F" w:rsidRPr="00803DB8">
        <w:rPr>
          <w:bCs/>
        </w:rPr>
        <w:t xml:space="preserve"> will be used to quantify and determine the level of activity on the facility. ADT</w:t>
      </w:r>
      <w:r w:rsidR="00040ABB" w:rsidRPr="00803DB8">
        <w:rPr>
          <w:bCs/>
        </w:rPr>
        <w:t xml:space="preserve"> is the volume of existing traffic on the existing route annualized to a daily average. For purposes of the project data analysis, the traffic is averaged over the entire length of the project. </w:t>
      </w:r>
      <w:r w:rsidR="00505609" w:rsidRPr="00803DB8">
        <w:rPr>
          <w:bCs/>
        </w:rPr>
        <w:t>For projects that feature multi-segment roadways, a weighted average using both lane mile distance and ADT will be used. The ADT score for each segment will be multiplied by each segment’s percentage of lane miles and totaled to get the weighted ADT average.</w:t>
      </w:r>
    </w:p>
    <w:p w:rsidR="00505609" w:rsidRPr="00803DB8" w:rsidRDefault="00505609" w:rsidP="00AA4B6F">
      <w:pPr>
        <w:pStyle w:val="ListParagraph"/>
        <w:autoSpaceDE w:val="0"/>
        <w:autoSpaceDN w:val="0"/>
        <w:adjustRightInd w:val="0"/>
        <w:ind w:hanging="720"/>
        <w:jc w:val="both"/>
        <w:outlineLvl w:val="1"/>
        <w:rPr>
          <w:bCs/>
          <w:i/>
        </w:rPr>
      </w:pPr>
    </w:p>
    <w:p w:rsidR="00040ABB" w:rsidRPr="00803DB8" w:rsidRDefault="009219F7" w:rsidP="00AA4B6F">
      <w:pPr>
        <w:pStyle w:val="ListParagraph"/>
        <w:numPr>
          <w:ilvl w:val="0"/>
          <w:numId w:val="6"/>
        </w:numPr>
        <w:autoSpaceDE w:val="0"/>
        <w:autoSpaceDN w:val="0"/>
        <w:adjustRightInd w:val="0"/>
        <w:ind w:left="720" w:hanging="720"/>
        <w:jc w:val="both"/>
        <w:outlineLvl w:val="1"/>
      </w:pPr>
      <w:r w:rsidRPr="00803DB8">
        <w:rPr>
          <w:b/>
          <w:bCs/>
          <w:i/>
        </w:rPr>
        <w:t>Cost-</w:t>
      </w:r>
      <w:r w:rsidR="007C37D8" w:rsidRPr="00803DB8">
        <w:rPr>
          <w:b/>
          <w:bCs/>
          <w:i/>
        </w:rPr>
        <w:t>Effectiveness</w:t>
      </w:r>
      <w:r w:rsidR="001B374A" w:rsidRPr="00803DB8">
        <w:rPr>
          <w:b/>
          <w:bCs/>
          <w:i/>
        </w:rPr>
        <w:t xml:space="preserve">. </w:t>
      </w:r>
      <w:r w:rsidR="001B374A" w:rsidRPr="00803DB8">
        <w:t xml:space="preserve">For </w:t>
      </w:r>
      <w:r w:rsidR="009947BD" w:rsidRPr="00803DB8">
        <w:t xml:space="preserve">arterial rehabilitation </w:t>
      </w:r>
      <w:r w:rsidR="001B374A" w:rsidRPr="00803DB8">
        <w:t xml:space="preserve">projects, cost effectiveness will be measured by analyzing the total of direct expenditures </w:t>
      </w:r>
      <w:r w:rsidR="009947BD" w:rsidRPr="00803DB8">
        <w:t>versus</w:t>
      </w:r>
      <w:r w:rsidR="001B374A" w:rsidRPr="00803DB8">
        <w:t xml:space="preserve"> the total </w:t>
      </w:r>
      <w:r w:rsidR="00443DEA" w:rsidRPr="00803DB8">
        <w:t>ADT</w:t>
      </w:r>
      <w:r w:rsidR="001B374A" w:rsidRPr="00803DB8">
        <w:t xml:space="preserve">. </w:t>
      </w:r>
    </w:p>
    <w:p w:rsidR="009947BD" w:rsidRPr="00803DB8" w:rsidRDefault="009947BD" w:rsidP="00AA4B6F">
      <w:pPr>
        <w:pStyle w:val="ListParagraph"/>
        <w:autoSpaceDE w:val="0"/>
        <w:autoSpaceDN w:val="0"/>
        <w:adjustRightInd w:val="0"/>
        <w:ind w:hanging="720"/>
        <w:jc w:val="both"/>
        <w:outlineLvl w:val="1"/>
      </w:pPr>
    </w:p>
    <w:p w:rsidR="007C23AE" w:rsidRPr="00803DB8" w:rsidRDefault="007C23AE" w:rsidP="00AA4B6F">
      <w:pPr>
        <w:pStyle w:val="ListParagraph"/>
        <w:numPr>
          <w:ilvl w:val="0"/>
          <w:numId w:val="6"/>
        </w:numPr>
        <w:autoSpaceDE w:val="0"/>
        <w:autoSpaceDN w:val="0"/>
        <w:adjustRightInd w:val="0"/>
        <w:ind w:left="720" w:hanging="720"/>
        <w:jc w:val="both"/>
        <w:outlineLvl w:val="1"/>
        <w:rPr>
          <w:bCs/>
        </w:rPr>
      </w:pPr>
      <w:r w:rsidRPr="00803DB8">
        <w:rPr>
          <w:b/>
          <w:bCs/>
          <w:i/>
        </w:rPr>
        <w:t xml:space="preserve">Matching Funds. </w:t>
      </w:r>
      <w:r w:rsidRPr="00803DB8">
        <w:rPr>
          <w:bCs/>
        </w:rPr>
        <w:t>Agencies will be required to provide 50 percent matching funds for each candidate project.  M</w:t>
      </w:r>
      <w:r w:rsidR="009219F7" w:rsidRPr="00803DB8">
        <w:rPr>
          <w:bCs/>
        </w:rPr>
        <w:t>easure M</w:t>
      </w:r>
      <w:r w:rsidRPr="00803DB8">
        <w:rPr>
          <w:bCs/>
        </w:rPr>
        <w:t xml:space="preserve">2 </w:t>
      </w:r>
      <w:r w:rsidR="009219F7" w:rsidRPr="00803DB8">
        <w:rPr>
          <w:bCs/>
        </w:rPr>
        <w:t xml:space="preserve">(M2) </w:t>
      </w:r>
      <w:r w:rsidR="000D04A7" w:rsidRPr="00803DB8">
        <w:rPr>
          <w:bCs/>
        </w:rPr>
        <w:t>Comprehensive</w:t>
      </w:r>
      <w:r w:rsidR="00AA4B6F" w:rsidRPr="00803DB8">
        <w:rPr>
          <w:bCs/>
        </w:rPr>
        <w:t xml:space="preserve"> Transportation Fund Program </w:t>
      </w:r>
      <w:r w:rsidRPr="00803DB8">
        <w:rPr>
          <w:bCs/>
        </w:rPr>
        <w:t>funds may not be used as matching funds. M2 local fair share funds can be used as matching funds for any phase.</w:t>
      </w:r>
    </w:p>
    <w:p w:rsidR="007C23AE" w:rsidRPr="00803DB8" w:rsidRDefault="007C23AE" w:rsidP="00AA4B6F">
      <w:pPr>
        <w:autoSpaceDE w:val="0"/>
        <w:autoSpaceDN w:val="0"/>
        <w:adjustRightInd w:val="0"/>
        <w:ind w:left="720" w:hanging="720"/>
        <w:jc w:val="both"/>
        <w:outlineLvl w:val="1"/>
        <w:rPr>
          <w:bCs/>
        </w:rPr>
      </w:pPr>
      <w:r w:rsidRPr="00803DB8">
        <w:rPr>
          <w:bCs/>
        </w:rPr>
        <w:t xml:space="preserve"> </w:t>
      </w:r>
    </w:p>
    <w:p w:rsidR="007C23AE" w:rsidRPr="009535CA" w:rsidRDefault="00177355" w:rsidP="00AA4B6F">
      <w:pPr>
        <w:pStyle w:val="ListParagraph"/>
        <w:numPr>
          <w:ilvl w:val="0"/>
          <w:numId w:val="6"/>
        </w:numPr>
        <w:autoSpaceDE w:val="0"/>
        <w:autoSpaceDN w:val="0"/>
        <w:adjustRightInd w:val="0"/>
        <w:ind w:left="720" w:hanging="720"/>
        <w:jc w:val="both"/>
        <w:outlineLvl w:val="1"/>
        <w:rPr>
          <w:b/>
          <w:bCs/>
          <w:i/>
        </w:rPr>
      </w:pPr>
      <w:r w:rsidRPr="009535CA">
        <w:rPr>
          <w:b/>
          <w:bCs/>
          <w:i/>
        </w:rPr>
        <w:t>Agency Designated Priority Project</w:t>
      </w:r>
      <w:r w:rsidR="007C23AE" w:rsidRPr="009535CA">
        <w:rPr>
          <w:b/>
          <w:bCs/>
          <w:i/>
        </w:rPr>
        <w:t>.</w:t>
      </w:r>
      <w:r w:rsidR="007C23AE" w:rsidRPr="009535CA">
        <w:rPr>
          <w:b/>
          <w:bCs/>
        </w:rPr>
        <w:t xml:space="preserve"> </w:t>
      </w:r>
      <w:r w:rsidR="007C23AE" w:rsidRPr="009535CA">
        <w:rPr>
          <w:bCs/>
        </w:rPr>
        <w:t xml:space="preserve">Projects that are identified as priority projects by the </w:t>
      </w:r>
      <w:r w:rsidR="009219F7" w:rsidRPr="009535CA">
        <w:rPr>
          <w:bCs/>
        </w:rPr>
        <w:t>a</w:t>
      </w:r>
      <w:r w:rsidR="007C23AE" w:rsidRPr="009535CA">
        <w:rPr>
          <w:bCs/>
        </w:rPr>
        <w:t xml:space="preserve">gency </w:t>
      </w:r>
      <w:r w:rsidR="009219F7" w:rsidRPr="009535CA">
        <w:rPr>
          <w:bCs/>
        </w:rPr>
        <w:t>a</w:t>
      </w:r>
      <w:r w:rsidR="007C23AE" w:rsidRPr="009535CA">
        <w:rPr>
          <w:bCs/>
        </w:rPr>
        <w:t>pplicant will be given higher priority and be scored accordingly.</w:t>
      </w:r>
    </w:p>
    <w:p w:rsidR="007C23AE" w:rsidRPr="009535CA" w:rsidRDefault="007C23AE" w:rsidP="00AA4B6F">
      <w:pPr>
        <w:pStyle w:val="ListParagraph"/>
        <w:ind w:hanging="720"/>
        <w:rPr>
          <w:b/>
          <w:bCs/>
          <w:i/>
        </w:rPr>
      </w:pPr>
    </w:p>
    <w:p w:rsidR="007C23AE" w:rsidRPr="009535CA" w:rsidRDefault="00803DB8" w:rsidP="00AA4B6F">
      <w:pPr>
        <w:pStyle w:val="ListParagraph"/>
        <w:numPr>
          <w:ilvl w:val="0"/>
          <w:numId w:val="6"/>
        </w:numPr>
        <w:autoSpaceDE w:val="0"/>
        <w:autoSpaceDN w:val="0"/>
        <w:adjustRightInd w:val="0"/>
        <w:ind w:left="720" w:hanging="720"/>
        <w:jc w:val="both"/>
        <w:outlineLvl w:val="1"/>
        <w:rPr>
          <w:b/>
          <w:bCs/>
          <w:i/>
        </w:rPr>
      </w:pPr>
      <w:r w:rsidRPr="009535CA">
        <w:rPr>
          <w:b/>
          <w:bCs/>
          <w:i/>
        </w:rPr>
        <w:t xml:space="preserve">On </w:t>
      </w:r>
      <w:r w:rsidR="00177355" w:rsidRPr="009535CA">
        <w:rPr>
          <w:b/>
          <w:bCs/>
          <w:i/>
        </w:rPr>
        <w:t>S</w:t>
      </w:r>
      <w:r w:rsidRPr="009535CA">
        <w:rPr>
          <w:b/>
          <w:bCs/>
          <w:i/>
        </w:rPr>
        <w:t xml:space="preserve">treet </w:t>
      </w:r>
      <w:r w:rsidR="00177355" w:rsidRPr="009535CA">
        <w:rPr>
          <w:b/>
          <w:bCs/>
          <w:i/>
        </w:rPr>
        <w:t>B</w:t>
      </w:r>
      <w:r w:rsidRPr="009535CA">
        <w:rPr>
          <w:b/>
          <w:bCs/>
          <w:i/>
        </w:rPr>
        <w:t>ikeway</w:t>
      </w:r>
      <w:r w:rsidR="00DA1BC1" w:rsidRPr="009535CA">
        <w:rPr>
          <w:b/>
          <w:bCs/>
          <w:i/>
        </w:rPr>
        <w:t>.</w:t>
      </w:r>
      <w:r w:rsidR="00F04729" w:rsidRPr="009535CA">
        <w:rPr>
          <w:b/>
          <w:bCs/>
          <w:i/>
        </w:rPr>
        <w:t xml:space="preserve"> </w:t>
      </w:r>
      <w:r w:rsidR="00F04729" w:rsidRPr="009535CA">
        <w:rPr>
          <w:bCs/>
        </w:rPr>
        <w:t xml:space="preserve">Projects that are identified as </w:t>
      </w:r>
      <w:r w:rsidRPr="009535CA">
        <w:rPr>
          <w:bCs/>
        </w:rPr>
        <w:t xml:space="preserve">having or adding an on street bikeway </w:t>
      </w:r>
      <w:r w:rsidR="00F04729" w:rsidRPr="009535CA">
        <w:rPr>
          <w:bCs/>
        </w:rPr>
        <w:t>will be given higher priority and be scored accordingly</w:t>
      </w:r>
    </w:p>
    <w:p w:rsidR="007C23AE" w:rsidRPr="00803DB8" w:rsidRDefault="007C23AE" w:rsidP="00AA4B6F">
      <w:pPr>
        <w:autoSpaceDE w:val="0"/>
        <w:autoSpaceDN w:val="0"/>
        <w:adjustRightInd w:val="0"/>
        <w:ind w:left="720" w:hanging="720"/>
        <w:jc w:val="both"/>
        <w:outlineLvl w:val="1"/>
        <w:rPr>
          <w:bCs/>
        </w:rPr>
      </w:pPr>
    </w:p>
    <w:p w:rsidR="00462A69" w:rsidRPr="00803DB8" w:rsidRDefault="00040ABB" w:rsidP="00AA4B6F">
      <w:pPr>
        <w:pStyle w:val="ListParagraph"/>
        <w:numPr>
          <w:ilvl w:val="0"/>
          <w:numId w:val="6"/>
        </w:numPr>
        <w:autoSpaceDE w:val="0"/>
        <w:autoSpaceDN w:val="0"/>
        <w:adjustRightInd w:val="0"/>
        <w:ind w:left="720" w:hanging="720"/>
        <w:jc w:val="both"/>
        <w:outlineLvl w:val="1"/>
        <w:rPr>
          <w:bCs/>
          <w:i/>
        </w:rPr>
      </w:pPr>
      <w:r w:rsidRPr="00803DB8">
        <w:rPr>
          <w:b/>
          <w:bCs/>
          <w:i/>
        </w:rPr>
        <w:t>P</w:t>
      </w:r>
      <w:r w:rsidR="00462A69" w:rsidRPr="00803DB8">
        <w:rPr>
          <w:b/>
          <w:bCs/>
          <w:i/>
        </w:rPr>
        <w:t xml:space="preserve">avement </w:t>
      </w:r>
      <w:r w:rsidRPr="00803DB8">
        <w:rPr>
          <w:b/>
          <w:bCs/>
          <w:i/>
        </w:rPr>
        <w:t>C</w:t>
      </w:r>
      <w:r w:rsidR="000314AB" w:rsidRPr="00803DB8">
        <w:rPr>
          <w:b/>
          <w:bCs/>
          <w:i/>
        </w:rPr>
        <w:t xml:space="preserve">ondition </w:t>
      </w:r>
      <w:r w:rsidRPr="00803DB8">
        <w:rPr>
          <w:b/>
          <w:bCs/>
          <w:i/>
        </w:rPr>
        <w:t>Rating.</w:t>
      </w:r>
      <w:r w:rsidRPr="00803DB8">
        <w:rPr>
          <w:bCs/>
          <w:i/>
        </w:rPr>
        <w:t xml:space="preserve"> </w:t>
      </w:r>
      <w:r w:rsidR="00C02941" w:rsidRPr="00803DB8">
        <w:rPr>
          <w:bCs/>
        </w:rPr>
        <w:t>OCTA uses the</w:t>
      </w:r>
      <w:r w:rsidR="00FF5D17" w:rsidRPr="00803DB8">
        <w:rPr>
          <w:bCs/>
        </w:rPr>
        <w:t xml:space="preserve"> </w:t>
      </w:r>
      <w:proofErr w:type="spellStart"/>
      <w:r w:rsidR="00FF5D17" w:rsidRPr="00803DB8">
        <w:rPr>
          <w:bCs/>
        </w:rPr>
        <w:t>Micropaver</w:t>
      </w:r>
      <w:proofErr w:type="spellEnd"/>
      <w:r w:rsidR="00C02941" w:rsidRPr="00803DB8">
        <w:rPr>
          <w:bCs/>
        </w:rPr>
        <w:t xml:space="preserve"> PCI pavement management system and rating methodology to track the condition of Orange County’s streets.</w:t>
      </w:r>
      <w:r w:rsidR="00462A69" w:rsidRPr="00803DB8">
        <w:rPr>
          <w:bCs/>
        </w:rPr>
        <w:t xml:space="preserve"> </w:t>
      </w:r>
      <w:r w:rsidR="00D851D0" w:rsidRPr="00803DB8">
        <w:rPr>
          <w:bCs/>
        </w:rPr>
        <w:t xml:space="preserve">The PCI method measures the occurrence of several pavement distress types and assigns a PCI score based upon the density (area affected) and severity of the observed distress. The PCI scale ranges between 100 and 0.  A PCI of 100 represents a pavement completely free of distress; a PCI of 0 corresponds to a pavement that has failed completely and can no longer be driven safely at the designed speed. </w:t>
      </w:r>
      <w:r w:rsidRPr="00803DB8">
        <w:rPr>
          <w:bCs/>
        </w:rPr>
        <w:t xml:space="preserve">This rating </w:t>
      </w:r>
      <w:r w:rsidR="00462A69" w:rsidRPr="00803DB8">
        <w:rPr>
          <w:bCs/>
        </w:rPr>
        <w:t>takes into consideration factors,</w:t>
      </w:r>
      <w:r w:rsidRPr="00803DB8">
        <w:rPr>
          <w:bCs/>
        </w:rPr>
        <w:t xml:space="preserve"> such as cracking, potholes, deterioration of the pavement and other factors</w:t>
      </w:r>
      <w:r w:rsidR="00D25860" w:rsidRPr="00803DB8">
        <w:rPr>
          <w:bCs/>
        </w:rPr>
        <w:t>.</w:t>
      </w:r>
      <w:r w:rsidR="00355BBC" w:rsidRPr="00803DB8">
        <w:rPr>
          <w:bCs/>
        </w:rPr>
        <w:t xml:space="preserve">  For projects that </w:t>
      </w:r>
      <w:r w:rsidR="004F61F0" w:rsidRPr="00803DB8">
        <w:rPr>
          <w:bCs/>
        </w:rPr>
        <w:t xml:space="preserve">feature </w:t>
      </w:r>
      <w:r w:rsidR="00505609" w:rsidRPr="00803DB8">
        <w:rPr>
          <w:bCs/>
        </w:rPr>
        <w:t>multi-segment</w:t>
      </w:r>
      <w:r w:rsidR="004F61F0" w:rsidRPr="00803DB8">
        <w:rPr>
          <w:bCs/>
        </w:rPr>
        <w:t xml:space="preserve"> roadway</w:t>
      </w:r>
      <w:r w:rsidR="00505609" w:rsidRPr="00803DB8">
        <w:rPr>
          <w:bCs/>
        </w:rPr>
        <w:t>s</w:t>
      </w:r>
      <w:r w:rsidR="00054787" w:rsidRPr="00803DB8">
        <w:rPr>
          <w:bCs/>
        </w:rPr>
        <w:t>,</w:t>
      </w:r>
      <w:r w:rsidR="00355BBC" w:rsidRPr="00803DB8">
        <w:rPr>
          <w:bCs/>
        </w:rPr>
        <w:t xml:space="preserve"> a weighted average</w:t>
      </w:r>
      <w:r w:rsidR="00054787" w:rsidRPr="00803DB8">
        <w:rPr>
          <w:bCs/>
        </w:rPr>
        <w:t xml:space="preserve"> using both lane mile distance and</w:t>
      </w:r>
      <w:r w:rsidR="00355BBC" w:rsidRPr="00803DB8">
        <w:rPr>
          <w:bCs/>
        </w:rPr>
        <w:t xml:space="preserve"> PCI will be used.</w:t>
      </w:r>
      <w:r w:rsidR="004F61F0" w:rsidRPr="00803DB8">
        <w:rPr>
          <w:bCs/>
        </w:rPr>
        <w:t xml:space="preserve"> </w:t>
      </w:r>
      <w:r w:rsidR="008D6FF8" w:rsidRPr="00803DB8">
        <w:rPr>
          <w:bCs/>
        </w:rPr>
        <w:t>The PCI score for each segment will be multiplied by each segment’s percentage of lane miles and totaled to get the weighted PCI average.</w:t>
      </w:r>
      <w:r w:rsidR="00355BBC" w:rsidRPr="00803DB8">
        <w:rPr>
          <w:bCs/>
        </w:rPr>
        <w:cr/>
      </w:r>
    </w:p>
    <w:p w:rsidR="007C23AE" w:rsidRPr="00803DB8" w:rsidRDefault="007C23AE" w:rsidP="00AA4B6F">
      <w:pPr>
        <w:pStyle w:val="ListParagraph"/>
        <w:numPr>
          <w:ilvl w:val="0"/>
          <w:numId w:val="6"/>
        </w:numPr>
        <w:autoSpaceDE w:val="0"/>
        <w:autoSpaceDN w:val="0"/>
        <w:adjustRightInd w:val="0"/>
        <w:ind w:left="720" w:hanging="720"/>
        <w:jc w:val="both"/>
        <w:outlineLvl w:val="1"/>
        <w:rPr>
          <w:bCs/>
          <w:i/>
        </w:rPr>
      </w:pPr>
      <w:r w:rsidRPr="00803DB8">
        <w:rPr>
          <w:b/>
          <w:bCs/>
          <w:i/>
        </w:rPr>
        <w:t xml:space="preserve">Project Readiness. </w:t>
      </w:r>
      <w:r w:rsidRPr="00803DB8">
        <w:rPr>
          <w:bCs/>
        </w:rPr>
        <w:t xml:space="preserve">Projects that can clearly demonstrate an ability to meet </w:t>
      </w:r>
      <w:r w:rsidR="007F3365" w:rsidRPr="00803DB8">
        <w:rPr>
          <w:bCs/>
        </w:rPr>
        <w:t>the APM funding schedule</w:t>
      </w:r>
      <w:r w:rsidRPr="00803DB8">
        <w:rPr>
          <w:bCs/>
        </w:rPr>
        <w:t xml:space="preserve"> requirements will be given a higher priority. Projects should have completed conceptual designs at a minimum and ideally completed survey work (e.g. at </w:t>
      </w:r>
      <w:r w:rsidRPr="00803DB8">
        <w:rPr>
          <w:bCs/>
        </w:rPr>
        <w:lastRenderedPageBreak/>
        <w:t>or near 30</w:t>
      </w:r>
      <w:r w:rsidR="009219F7" w:rsidRPr="00803DB8">
        <w:rPr>
          <w:bCs/>
        </w:rPr>
        <w:t xml:space="preserve"> percent</w:t>
      </w:r>
      <w:r w:rsidRPr="00803DB8">
        <w:rPr>
          <w:bCs/>
        </w:rPr>
        <w:t xml:space="preserve"> design). This enables project benefits to be realized sooner and supports the region’s strategy to obligate RSTP funds as early as possible. </w:t>
      </w:r>
    </w:p>
    <w:p w:rsidR="007C23AE" w:rsidRPr="00803DB8" w:rsidRDefault="007C23AE" w:rsidP="007C23AE">
      <w:pPr>
        <w:autoSpaceDE w:val="0"/>
        <w:autoSpaceDN w:val="0"/>
        <w:adjustRightInd w:val="0"/>
        <w:jc w:val="both"/>
        <w:outlineLvl w:val="1"/>
        <w:rPr>
          <w:bCs/>
          <w:i/>
        </w:rPr>
      </w:pPr>
    </w:p>
    <w:p w:rsidR="007C23AE" w:rsidRPr="00803DB8" w:rsidRDefault="00D27872" w:rsidP="00AA4B6F">
      <w:pPr>
        <w:pStyle w:val="ListParagraph"/>
        <w:numPr>
          <w:ilvl w:val="0"/>
          <w:numId w:val="6"/>
        </w:numPr>
        <w:autoSpaceDE w:val="0"/>
        <w:autoSpaceDN w:val="0"/>
        <w:adjustRightInd w:val="0"/>
        <w:ind w:left="720" w:hanging="720"/>
        <w:jc w:val="both"/>
        <w:outlineLvl w:val="1"/>
        <w:rPr>
          <w:bCs/>
        </w:rPr>
      </w:pPr>
      <w:r w:rsidRPr="00803DB8">
        <w:rPr>
          <w:b/>
          <w:bCs/>
          <w:i/>
        </w:rPr>
        <w:t>Project Features</w:t>
      </w:r>
      <w:r w:rsidR="00234BBB" w:rsidRPr="00803DB8">
        <w:rPr>
          <w:b/>
          <w:bCs/>
          <w:i/>
        </w:rPr>
        <w:t xml:space="preserve"> (Pavement Treatment</w:t>
      </w:r>
      <w:r w:rsidR="00142EE7" w:rsidRPr="00803DB8">
        <w:rPr>
          <w:b/>
          <w:bCs/>
          <w:i/>
        </w:rPr>
        <w:t>s</w:t>
      </w:r>
      <w:r w:rsidR="00234BBB" w:rsidRPr="00803DB8">
        <w:rPr>
          <w:b/>
          <w:bCs/>
          <w:i/>
        </w:rPr>
        <w:t>)</w:t>
      </w:r>
      <w:r w:rsidR="007C23AE" w:rsidRPr="00803DB8">
        <w:rPr>
          <w:b/>
          <w:bCs/>
          <w:i/>
        </w:rPr>
        <w:t>.</w:t>
      </w:r>
      <w:r w:rsidR="007C23AE" w:rsidRPr="00803DB8">
        <w:t xml:space="preserve"> </w:t>
      </w:r>
      <w:r w:rsidR="007C23AE" w:rsidRPr="00803DB8">
        <w:rPr>
          <w:bCs/>
        </w:rPr>
        <w:t xml:space="preserve">Pavement preservation treatments may include various types of surface seals, thin lift overlays, and crack sealing for asphalt pavements. Pavements that are beyond the preventive maintenance, rehabilitation, or resurfacing maintenance techniques become candidates for </w:t>
      </w:r>
      <w:r w:rsidR="00FF5D17" w:rsidRPr="00803DB8">
        <w:rPr>
          <w:bCs/>
        </w:rPr>
        <w:t xml:space="preserve">rehabilitation or </w:t>
      </w:r>
      <w:r w:rsidR="007C23AE" w:rsidRPr="00803DB8">
        <w:rPr>
          <w:bCs/>
        </w:rPr>
        <w:t xml:space="preserve">reconstruction. This is the most costly and disruptive form of roadway maintenance. Treatments that will be </w:t>
      </w:r>
      <w:r w:rsidR="009E6275" w:rsidRPr="00803DB8">
        <w:rPr>
          <w:bCs/>
        </w:rPr>
        <w:t>less</w:t>
      </w:r>
      <w:r w:rsidR="007C23AE" w:rsidRPr="00803DB8">
        <w:rPr>
          <w:bCs/>
        </w:rPr>
        <w:t xml:space="preserve"> extensive in nature, including </w:t>
      </w:r>
      <w:r w:rsidR="00FF5ADE" w:rsidRPr="00803DB8">
        <w:rPr>
          <w:bCs/>
        </w:rPr>
        <w:t>measures</w:t>
      </w:r>
      <w:r w:rsidR="009E6275" w:rsidRPr="00803DB8">
        <w:rPr>
          <w:bCs/>
        </w:rPr>
        <w:t xml:space="preserve"> for preventative maintenance and </w:t>
      </w:r>
      <w:r w:rsidR="00FF5ADE" w:rsidRPr="00803DB8">
        <w:rPr>
          <w:bCs/>
        </w:rPr>
        <w:t xml:space="preserve">pavement </w:t>
      </w:r>
      <w:r w:rsidR="009E6275" w:rsidRPr="00803DB8">
        <w:rPr>
          <w:bCs/>
        </w:rPr>
        <w:t>preservation</w:t>
      </w:r>
      <w:r w:rsidR="007C23AE" w:rsidRPr="00803DB8">
        <w:rPr>
          <w:bCs/>
        </w:rPr>
        <w:t xml:space="preserve"> will receive greater priority to ensure that performance on the facility will be maintained at a high operational level. </w:t>
      </w:r>
    </w:p>
    <w:p w:rsidR="007C23AE" w:rsidRPr="00803DB8" w:rsidRDefault="007C23AE" w:rsidP="00AA4B6F">
      <w:pPr>
        <w:autoSpaceDE w:val="0"/>
        <w:autoSpaceDN w:val="0"/>
        <w:adjustRightInd w:val="0"/>
        <w:ind w:left="720" w:hanging="720"/>
        <w:jc w:val="both"/>
        <w:outlineLvl w:val="1"/>
        <w:rPr>
          <w:bCs/>
        </w:rPr>
      </w:pPr>
    </w:p>
    <w:p w:rsidR="007C23AE" w:rsidRPr="00803DB8" w:rsidRDefault="00A96EEF" w:rsidP="00AA4B6F">
      <w:pPr>
        <w:pStyle w:val="ListParagraph"/>
        <w:numPr>
          <w:ilvl w:val="0"/>
          <w:numId w:val="6"/>
        </w:numPr>
        <w:autoSpaceDE w:val="0"/>
        <w:autoSpaceDN w:val="0"/>
        <w:adjustRightInd w:val="0"/>
        <w:ind w:left="720" w:hanging="720"/>
        <w:jc w:val="both"/>
        <w:outlineLvl w:val="1"/>
        <w:rPr>
          <w:b/>
          <w:bCs/>
          <w:i/>
        </w:rPr>
      </w:pPr>
      <w:r w:rsidRPr="00803DB8">
        <w:rPr>
          <w:b/>
          <w:bCs/>
          <w:i/>
        </w:rPr>
        <w:t>Sustainability</w:t>
      </w:r>
      <w:r w:rsidR="007C23AE" w:rsidRPr="00803DB8">
        <w:rPr>
          <w:b/>
          <w:bCs/>
        </w:rPr>
        <w:t>.</w:t>
      </w:r>
      <w:r w:rsidR="007C23AE" w:rsidRPr="00803DB8">
        <w:rPr>
          <w:bCs/>
        </w:rPr>
        <w:t xml:space="preserve"> P</w:t>
      </w:r>
      <w:r w:rsidR="007C23AE" w:rsidRPr="00803DB8">
        <w:t>rojects that demonstrate the ability to use recycled materials in their project materials selection will receive additional points to their scoring.</w:t>
      </w:r>
    </w:p>
    <w:p w:rsidR="00CB6D41" w:rsidRPr="00803DB8" w:rsidRDefault="00CB6D41" w:rsidP="00AA4B6F">
      <w:pPr>
        <w:pStyle w:val="ListParagraph"/>
        <w:ind w:hanging="720"/>
        <w:rPr>
          <w:b/>
          <w:bCs/>
          <w:i/>
        </w:rPr>
      </w:pPr>
    </w:p>
    <w:p w:rsidR="007C23AE" w:rsidRPr="00803DB8" w:rsidRDefault="00CB6D41" w:rsidP="00AA4B6F">
      <w:pPr>
        <w:pStyle w:val="ListParagraph"/>
        <w:numPr>
          <w:ilvl w:val="0"/>
          <w:numId w:val="6"/>
        </w:numPr>
        <w:autoSpaceDE w:val="0"/>
        <w:autoSpaceDN w:val="0"/>
        <w:adjustRightInd w:val="0"/>
        <w:ind w:left="720" w:hanging="720"/>
        <w:jc w:val="both"/>
        <w:outlineLvl w:val="1"/>
        <w:rPr>
          <w:b/>
          <w:bCs/>
          <w:i/>
        </w:rPr>
      </w:pPr>
      <w:r w:rsidRPr="00803DB8">
        <w:rPr>
          <w:b/>
          <w:bCs/>
          <w:i/>
        </w:rPr>
        <w:t xml:space="preserve">Bus or Truck </w:t>
      </w:r>
      <w:r w:rsidR="00AA4B6F" w:rsidRPr="00803DB8">
        <w:rPr>
          <w:b/>
          <w:bCs/>
          <w:i/>
        </w:rPr>
        <w:t>R</w:t>
      </w:r>
      <w:r w:rsidRPr="00803DB8">
        <w:rPr>
          <w:b/>
          <w:bCs/>
          <w:i/>
        </w:rPr>
        <w:t>oute.</w:t>
      </w:r>
      <w:r w:rsidRPr="00803DB8">
        <w:rPr>
          <w:bCs/>
        </w:rPr>
        <w:t xml:space="preserve"> P</w:t>
      </w:r>
      <w:r w:rsidRPr="00803DB8">
        <w:t>rojects that demonstrate the scope</w:t>
      </w:r>
      <w:r w:rsidR="00BC36A8" w:rsidRPr="00803DB8">
        <w:t xml:space="preserve"> of work</w:t>
      </w:r>
      <w:r w:rsidRPr="00803DB8">
        <w:t xml:space="preserve"> is</w:t>
      </w:r>
      <w:r w:rsidR="00287A4C" w:rsidRPr="00803DB8">
        <w:t xml:space="preserve"> located</w:t>
      </w:r>
      <w:r w:rsidRPr="00803DB8">
        <w:t xml:space="preserve"> within a bus or truck route will receive additional points to their scoring</w:t>
      </w:r>
      <w:r w:rsidR="00BC36A8" w:rsidRPr="00803DB8">
        <w:t>.</w:t>
      </w:r>
    </w:p>
    <w:p w:rsidR="00B316B7" w:rsidRPr="00803DB8" w:rsidRDefault="00B316B7" w:rsidP="00B316B7">
      <w:pPr>
        <w:pStyle w:val="ListParagraph"/>
        <w:rPr>
          <w:b/>
          <w:bCs/>
          <w:i/>
        </w:rPr>
      </w:pPr>
    </w:p>
    <w:p w:rsidR="00A7370B" w:rsidRPr="00803DB8" w:rsidRDefault="001B4F53" w:rsidP="00A7370B">
      <w:pPr>
        <w:autoSpaceDE w:val="0"/>
        <w:autoSpaceDN w:val="0"/>
        <w:adjustRightInd w:val="0"/>
        <w:rPr>
          <w:b/>
          <w:bCs/>
          <w:sz w:val="28"/>
          <w:szCs w:val="28"/>
          <w:u w:val="single"/>
        </w:rPr>
      </w:pPr>
      <w:bookmarkStart w:id="6" w:name="_Toc244329273"/>
      <w:bookmarkStart w:id="7" w:name="_Toc244432098"/>
      <w:r w:rsidRPr="00803DB8">
        <w:rPr>
          <w:b/>
          <w:bCs/>
          <w:sz w:val="28"/>
          <w:szCs w:val="28"/>
          <w:u w:val="single"/>
        </w:rPr>
        <w:t xml:space="preserve">Application Limit and </w:t>
      </w:r>
      <w:r w:rsidR="00A7370B" w:rsidRPr="00803DB8">
        <w:rPr>
          <w:b/>
          <w:bCs/>
          <w:sz w:val="28"/>
          <w:szCs w:val="28"/>
          <w:u w:val="single"/>
        </w:rPr>
        <w:t>Stand by List</w:t>
      </w:r>
    </w:p>
    <w:p w:rsidR="00A7370B" w:rsidRPr="00803DB8" w:rsidRDefault="00A7370B" w:rsidP="00A7370B">
      <w:pPr>
        <w:autoSpaceDE w:val="0"/>
        <w:autoSpaceDN w:val="0"/>
        <w:adjustRightInd w:val="0"/>
        <w:rPr>
          <w:b/>
          <w:bCs/>
          <w:sz w:val="28"/>
          <w:szCs w:val="28"/>
          <w:u w:val="single"/>
        </w:rPr>
      </w:pPr>
    </w:p>
    <w:p w:rsidR="009535CA" w:rsidRPr="009535CA" w:rsidRDefault="009535CA" w:rsidP="009535CA">
      <w:pPr>
        <w:jc w:val="both"/>
        <w:rPr>
          <w:rFonts w:eastAsiaTheme="minorHAnsi"/>
        </w:rPr>
      </w:pPr>
      <w:r w:rsidRPr="00485FC8">
        <w:rPr>
          <w:rFonts w:eastAsiaTheme="minorHAnsi"/>
        </w:rPr>
        <w:t xml:space="preserve">Agencies may submit multiple applications; however, applications beyond </w:t>
      </w:r>
      <w:r w:rsidR="00F5194F" w:rsidRPr="00485FC8">
        <w:rPr>
          <w:rFonts w:eastAsiaTheme="minorHAnsi"/>
        </w:rPr>
        <w:t xml:space="preserve">the </w:t>
      </w:r>
      <w:r w:rsidRPr="00485FC8">
        <w:rPr>
          <w:rFonts w:eastAsiaTheme="minorHAnsi"/>
        </w:rPr>
        <w:t>two</w:t>
      </w:r>
      <w:r w:rsidR="00F5194F" w:rsidRPr="00485FC8">
        <w:rPr>
          <w:rFonts w:eastAsiaTheme="minorHAnsi"/>
        </w:rPr>
        <w:t xml:space="preserve"> highest scoring </w:t>
      </w:r>
      <w:r w:rsidR="00485FC8" w:rsidRPr="00485FC8">
        <w:rPr>
          <w:rFonts w:eastAsiaTheme="minorHAnsi"/>
        </w:rPr>
        <w:t>projects</w:t>
      </w:r>
      <w:r w:rsidRPr="00485FC8">
        <w:rPr>
          <w:rFonts w:eastAsiaTheme="minorHAnsi"/>
        </w:rPr>
        <w:t xml:space="preserve"> will be placed on a separate stand-by list and considered if funding becomes available</w:t>
      </w:r>
      <w:r w:rsidR="00F5194F" w:rsidRPr="00485FC8">
        <w:rPr>
          <w:rFonts w:eastAsiaTheme="minorHAnsi"/>
        </w:rPr>
        <w:t>.</w:t>
      </w:r>
    </w:p>
    <w:p w:rsidR="00A7370B" w:rsidRPr="00803DB8" w:rsidRDefault="00A7370B" w:rsidP="002E651B">
      <w:pPr>
        <w:autoSpaceDE w:val="0"/>
        <w:autoSpaceDN w:val="0"/>
        <w:adjustRightInd w:val="0"/>
        <w:rPr>
          <w:b/>
          <w:bCs/>
          <w:sz w:val="28"/>
          <w:szCs w:val="28"/>
          <w:u w:val="single"/>
        </w:rPr>
      </w:pPr>
    </w:p>
    <w:p w:rsidR="002E651B" w:rsidRPr="00803DB8" w:rsidRDefault="00A97CAF" w:rsidP="002E651B">
      <w:pPr>
        <w:autoSpaceDE w:val="0"/>
        <w:autoSpaceDN w:val="0"/>
        <w:adjustRightInd w:val="0"/>
        <w:rPr>
          <w:b/>
          <w:bCs/>
          <w:sz w:val="28"/>
          <w:szCs w:val="28"/>
          <w:u w:val="single"/>
        </w:rPr>
      </w:pPr>
      <w:r w:rsidRPr="00803DB8">
        <w:rPr>
          <w:b/>
          <w:bCs/>
          <w:sz w:val="28"/>
          <w:szCs w:val="28"/>
          <w:u w:val="single"/>
        </w:rPr>
        <w:t>Provisions of Use</w:t>
      </w:r>
    </w:p>
    <w:p w:rsidR="002E651B" w:rsidRPr="00803DB8" w:rsidRDefault="002E651B" w:rsidP="002E651B">
      <w:pPr>
        <w:autoSpaceDE w:val="0"/>
        <w:autoSpaceDN w:val="0"/>
        <w:adjustRightInd w:val="0"/>
        <w:rPr>
          <w:rFonts w:eastAsiaTheme="minorHAnsi"/>
          <w:b/>
          <w:bCs/>
          <w:sz w:val="28"/>
          <w:szCs w:val="28"/>
        </w:rPr>
      </w:pPr>
    </w:p>
    <w:p w:rsidR="002E651B" w:rsidRPr="00803DB8" w:rsidRDefault="001C2074" w:rsidP="00754A9E">
      <w:pPr>
        <w:autoSpaceDE w:val="0"/>
        <w:autoSpaceDN w:val="0"/>
        <w:adjustRightInd w:val="0"/>
        <w:jc w:val="both"/>
        <w:rPr>
          <w:rFonts w:eastAsiaTheme="minorHAnsi"/>
        </w:rPr>
      </w:pPr>
      <w:r w:rsidRPr="00803DB8">
        <w:rPr>
          <w:rFonts w:eastAsiaTheme="minorHAnsi"/>
        </w:rPr>
        <w:t>The APM</w:t>
      </w:r>
      <w:r w:rsidR="002E651B" w:rsidRPr="00803DB8">
        <w:rPr>
          <w:rFonts w:eastAsiaTheme="minorHAnsi"/>
        </w:rPr>
        <w:t xml:space="preserve"> is subject to the current feder</w:t>
      </w:r>
      <w:r w:rsidRPr="00803DB8">
        <w:rPr>
          <w:rFonts w:eastAsiaTheme="minorHAnsi"/>
        </w:rPr>
        <w:t xml:space="preserve">al transportation act, </w:t>
      </w:r>
      <w:r w:rsidR="009219F7" w:rsidRPr="00803DB8">
        <w:t>Moving Ahead for Progress in the 21</w:t>
      </w:r>
      <w:r w:rsidR="009219F7" w:rsidRPr="00803DB8">
        <w:rPr>
          <w:vertAlign w:val="superscript"/>
        </w:rPr>
        <w:t>st</w:t>
      </w:r>
      <w:r w:rsidR="009219F7" w:rsidRPr="00803DB8">
        <w:t xml:space="preserve"> Century Federal Transportation Act</w:t>
      </w:r>
      <w:r w:rsidR="009219F7" w:rsidRPr="00803DB8">
        <w:rPr>
          <w:rFonts w:eastAsiaTheme="minorHAnsi"/>
        </w:rPr>
        <w:t xml:space="preserve"> (</w:t>
      </w:r>
      <w:r w:rsidRPr="00803DB8">
        <w:rPr>
          <w:rFonts w:eastAsiaTheme="minorHAnsi"/>
        </w:rPr>
        <w:t>MAP-21</w:t>
      </w:r>
      <w:r w:rsidR="009219F7" w:rsidRPr="00803DB8">
        <w:rPr>
          <w:rFonts w:eastAsiaTheme="minorHAnsi"/>
        </w:rPr>
        <w:t>)</w:t>
      </w:r>
      <w:r w:rsidRPr="00803DB8">
        <w:rPr>
          <w:rFonts w:eastAsiaTheme="minorHAnsi"/>
        </w:rPr>
        <w:t xml:space="preserve">, </w:t>
      </w:r>
      <w:r w:rsidR="002E651B" w:rsidRPr="00803DB8">
        <w:rPr>
          <w:rFonts w:eastAsiaTheme="minorHAnsi"/>
        </w:rPr>
        <w:t xml:space="preserve">future extension, or passage of a new federal transportation authorization act. </w:t>
      </w:r>
      <w:r w:rsidRPr="00803DB8">
        <w:rPr>
          <w:rFonts w:eastAsiaTheme="minorHAnsi"/>
        </w:rPr>
        <w:t>The process is as follows for p</w:t>
      </w:r>
      <w:r w:rsidR="002E651B" w:rsidRPr="00803DB8">
        <w:rPr>
          <w:rFonts w:eastAsiaTheme="minorHAnsi"/>
        </w:rPr>
        <w:t>rojects awarded</w:t>
      </w:r>
      <w:r w:rsidRPr="00803DB8">
        <w:rPr>
          <w:rFonts w:eastAsiaTheme="minorHAnsi"/>
        </w:rPr>
        <w:t xml:space="preserve"> RSTP</w:t>
      </w:r>
      <w:r w:rsidR="002E651B" w:rsidRPr="00803DB8">
        <w:rPr>
          <w:rFonts w:eastAsiaTheme="minorHAnsi"/>
        </w:rPr>
        <w:t xml:space="preserve"> funding through the call for projects:</w:t>
      </w:r>
    </w:p>
    <w:p w:rsidR="002E651B" w:rsidRPr="00803DB8" w:rsidRDefault="002E651B" w:rsidP="00754A9E">
      <w:pPr>
        <w:autoSpaceDE w:val="0"/>
        <w:autoSpaceDN w:val="0"/>
        <w:adjustRightInd w:val="0"/>
        <w:jc w:val="both"/>
        <w:rPr>
          <w:rFonts w:eastAsiaTheme="minorHAnsi"/>
        </w:rPr>
      </w:pPr>
    </w:p>
    <w:p w:rsidR="002E651B" w:rsidRPr="00803DB8" w:rsidRDefault="002E651B" w:rsidP="009219F7">
      <w:pPr>
        <w:numPr>
          <w:ilvl w:val="0"/>
          <w:numId w:val="2"/>
        </w:numPr>
        <w:autoSpaceDE w:val="0"/>
        <w:autoSpaceDN w:val="0"/>
        <w:adjustRightInd w:val="0"/>
        <w:ind w:hanging="720"/>
        <w:jc w:val="both"/>
      </w:pPr>
      <w:r w:rsidRPr="00803DB8">
        <w:rPr>
          <w:spacing w:val="-4"/>
        </w:rPr>
        <w:t>Project must be programmed in the Federal Transportation Improvement Program (FTIP).</w:t>
      </w:r>
      <w:r w:rsidR="00C039A1" w:rsidRPr="00803DB8">
        <w:t xml:space="preserve"> </w:t>
      </w:r>
      <w:r w:rsidRPr="00803DB8">
        <w:t>The administering agency should consult with OCTA staff regarding modifications and</w:t>
      </w:r>
      <w:r w:rsidR="00C039A1" w:rsidRPr="00803DB8">
        <w:t xml:space="preserve"> </w:t>
      </w:r>
      <w:r w:rsidRPr="00803DB8">
        <w:t>amendments to the FTIP needed for the project.</w:t>
      </w:r>
    </w:p>
    <w:p w:rsidR="002E651B" w:rsidRPr="00803DB8" w:rsidRDefault="002E651B" w:rsidP="009219F7">
      <w:pPr>
        <w:numPr>
          <w:ilvl w:val="0"/>
          <w:numId w:val="2"/>
        </w:numPr>
        <w:autoSpaceDE w:val="0"/>
        <w:autoSpaceDN w:val="0"/>
        <w:adjustRightInd w:val="0"/>
        <w:ind w:hanging="720"/>
        <w:jc w:val="both"/>
      </w:pPr>
      <w:r w:rsidRPr="00803DB8">
        <w:t xml:space="preserve">Execute the </w:t>
      </w:r>
      <w:r w:rsidR="009219F7" w:rsidRPr="00803DB8">
        <w:t>c</w:t>
      </w:r>
      <w:r w:rsidRPr="00803DB8">
        <w:t xml:space="preserve">ooperative </w:t>
      </w:r>
      <w:r w:rsidR="009219F7" w:rsidRPr="00803DB8">
        <w:t>a</w:t>
      </w:r>
      <w:r w:rsidRPr="00803DB8">
        <w:t>greement between OCTA and the local administering agency.</w:t>
      </w:r>
    </w:p>
    <w:p w:rsidR="001C2074" w:rsidRPr="009535CA" w:rsidRDefault="002E651B" w:rsidP="009219F7">
      <w:pPr>
        <w:numPr>
          <w:ilvl w:val="0"/>
          <w:numId w:val="2"/>
        </w:numPr>
        <w:autoSpaceDE w:val="0"/>
        <w:autoSpaceDN w:val="0"/>
        <w:adjustRightInd w:val="0"/>
        <w:ind w:hanging="720"/>
        <w:jc w:val="both"/>
      </w:pPr>
      <w:r w:rsidRPr="009535CA">
        <w:t>Environmental documentation must be submi</w:t>
      </w:r>
      <w:r w:rsidR="003439E5" w:rsidRPr="009535CA">
        <w:t>tted to Caltrans by November 1</w:t>
      </w:r>
      <w:r w:rsidR="003439E5" w:rsidRPr="009535CA">
        <w:rPr>
          <w:vertAlign w:val="superscript"/>
        </w:rPr>
        <w:t>st</w:t>
      </w:r>
      <w:r w:rsidR="003439E5" w:rsidRPr="009535CA">
        <w:t xml:space="preserve"> of the </w:t>
      </w:r>
      <w:r w:rsidR="009219F7" w:rsidRPr="009535CA">
        <w:br/>
      </w:r>
      <w:r w:rsidR="003439E5" w:rsidRPr="009535CA">
        <w:t xml:space="preserve">FY </w:t>
      </w:r>
      <w:r w:rsidR="00430477" w:rsidRPr="009535CA">
        <w:t>funds</w:t>
      </w:r>
      <w:r w:rsidR="003439E5" w:rsidRPr="009535CA">
        <w:t xml:space="preserve"> are programmed </w:t>
      </w:r>
      <w:r w:rsidRPr="009535CA">
        <w:t>or the</w:t>
      </w:r>
      <w:r w:rsidR="00C039A1" w:rsidRPr="009535CA">
        <w:t xml:space="preserve"> </w:t>
      </w:r>
      <w:r w:rsidRPr="009535CA">
        <w:t>administering agency risks losing project funding.</w:t>
      </w:r>
    </w:p>
    <w:p w:rsidR="002E651B" w:rsidRPr="009535CA" w:rsidRDefault="002E651B" w:rsidP="009219F7">
      <w:pPr>
        <w:numPr>
          <w:ilvl w:val="0"/>
          <w:numId w:val="2"/>
        </w:numPr>
        <w:autoSpaceDE w:val="0"/>
        <w:autoSpaceDN w:val="0"/>
        <w:adjustRightInd w:val="0"/>
        <w:ind w:hanging="720"/>
        <w:jc w:val="both"/>
      </w:pPr>
      <w:r w:rsidRPr="009535CA">
        <w:t xml:space="preserve">Obtain NEPA and </w:t>
      </w:r>
      <w:r w:rsidR="009219F7" w:rsidRPr="009535CA">
        <w:t>California Environmental Quality Act (</w:t>
      </w:r>
      <w:r w:rsidRPr="009535CA">
        <w:t>CE</w:t>
      </w:r>
      <w:r w:rsidR="003439E5" w:rsidRPr="009535CA">
        <w:t>QA</w:t>
      </w:r>
      <w:r w:rsidR="009219F7" w:rsidRPr="009535CA">
        <w:t>)</w:t>
      </w:r>
      <w:r w:rsidR="003439E5" w:rsidRPr="009535CA">
        <w:t xml:space="preserve"> </w:t>
      </w:r>
      <w:proofErr w:type="gramStart"/>
      <w:r w:rsidR="003439E5" w:rsidRPr="009535CA">
        <w:t>approval prior to January 1</w:t>
      </w:r>
      <w:r w:rsidR="003439E5" w:rsidRPr="009535CA">
        <w:rPr>
          <w:vertAlign w:val="superscript"/>
        </w:rPr>
        <w:t>st</w:t>
      </w:r>
      <w:r w:rsidR="003439E5" w:rsidRPr="009535CA">
        <w:t xml:space="preserve"> of the FY </w:t>
      </w:r>
      <w:r w:rsidR="00430477" w:rsidRPr="009535CA">
        <w:t>funds</w:t>
      </w:r>
      <w:r w:rsidR="003439E5" w:rsidRPr="009535CA">
        <w:t xml:space="preserve"> are</w:t>
      </w:r>
      <w:proofErr w:type="gramEnd"/>
      <w:r w:rsidR="003439E5" w:rsidRPr="009535CA">
        <w:t xml:space="preserve"> programmed</w:t>
      </w:r>
      <w:r w:rsidRPr="009535CA">
        <w:t>.</w:t>
      </w:r>
    </w:p>
    <w:p w:rsidR="002E651B" w:rsidRPr="009535CA" w:rsidRDefault="002E651B" w:rsidP="009219F7">
      <w:pPr>
        <w:numPr>
          <w:ilvl w:val="0"/>
          <w:numId w:val="2"/>
        </w:numPr>
        <w:autoSpaceDE w:val="0"/>
        <w:autoSpaceDN w:val="0"/>
        <w:adjustRightInd w:val="0"/>
        <w:ind w:hanging="720"/>
        <w:jc w:val="both"/>
      </w:pPr>
      <w:r w:rsidRPr="009535CA">
        <w:t xml:space="preserve">Authorization to </w:t>
      </w:r>
      <w:r w:rsidR="009219F7" w:rsidRPr="009535CA">
        <w:t>p</w:t>
      </w:r>
      <w:r w:rsidRPr="009535CA">
        <w:t>roceed (E-76 request) must be submitted to Caltrans District 12 and</w:t>
      </w:r>
      <w:r w:rsidR="00C039A1" w:rsidRPr="009535CA">
        <w:t xml:space="preserve"> c</w:t>
      </w:r>
      <w:r w:rsidR="003439E5" w:rsidRPr="009535CA">
        <w:t>opied to OCTA by February 1</w:t>
      </w:r>
      <w:r w:rsidR="003439E5" w:rsidRPr="009535CA">
        <w:rPr>
          <w:vertAlign w:val="superscript"/>
        </w:rPr>
        <w:t>st</w:t>
      </w:r>
      <w:r w:rsidR="003439E5" w:rsidRPr="009535CA">
        <w:t xml:space="preserve"> of the FY </w:t>
      </w:r>
      <w:r w:rsidR="00430477" w:rsidRPr="009535CA">
        <w:t>funds</w:t>
      </w:r>
      <w:r w:rsidR="003439E5" w:rsidRPr="009535CA">
        <w:t xml:space="preserve"> are programmed</w:t>
      </w:r>
      <w:r w:rsidRPr="009535CA">
        <w:t>.</w:t>
      </w:r>
      <w:r w:rsidR="00751108" w:rsidRPr="009535CA">
        <w:t xml:space="preserve">  Any activity </w:t>
      </w:r>
      <w:r w:rsidR="00751108" w:rsidRPr="009535CA">
        <w:lastRenderedPageBreak/>
        <w:t>undertaken by the local agency prior to approval of the E-76 form will not be reimbursed.</w:t>
      </w:r>
      <w:r w:rsidR="000E6D00" w:rsidRPr="009535CA">
        <w:t xml:space="preserve">  A local agency may not advertise for construction prior to receiving E-76 authorization or the project would be ineligible for funding.</w:t>
      </w:r>
    </w:p>
    <w:p w:rsidR="002E651B" w:rsidRPr="00803DB8" w:rsidRDefault="002E651B" w:rsidP="009219F7">
      <w:pPr>
        <w:numPr>
          <w:ilvl w:val="0"/>
          <w:numId w:val="2"/>
        </w:numPr>
        <w:autoSpaceDE w:val="0"/>
        <w:autoSpaceDN w:val="0"/>
        <w:adjustRightInd w:val="0"/>
        <w:ind w:hanging="720"/>
        <w:jc w:val="both"/>
      </w:pPr>
      <w:r w:rsidRPr="00803DB8">
        <w:t>Once E-76 is approved the agency has six months to award a contract.</w:t>
      </w:r>
    </w:p>
    <w:p w:rsidR="002E651B" w:rsidRPr="00803DB8" w:rsidRDefault="002E651B" w:rsidP="009219F7">
      <w:pPr>
        <w:numPr>
          <w:ilvl w:val="0"/>
          <w:numId w:val="2"/>
        </w:numPr>
        <w:autoSpaceDE w:val="0"/>
        <w:autoSpaceDN w:val="0"/>
        <w:adjustRightInd w:val="0"/>
        <w:ind w:hanging="720"/>
        <w:jc w:val="both"/>
      </w:pPr>
      <w:r w:rsidRPr="00803DB8">
        <w:t xml:space="preserve">Invoices for </w:t>
      </w:r>
      <w:r w:rsidR="00F20ED6" w:rsidRPr="00803DB8">
        <w:t>APM</w:t>
      </w:r>
      <w:r w:rsidRPr="00803DB8">
        <w:t xml:space="preserve"> are submitted to and paid by Caltrans.</w:t>
      </w:r>
    </w:p>
    <w:p w:rsidR="001C2074" w:rsidRPr="00803DB8" w:rsidRDefault="002E651B" w:rsidP="009219F7">
      <w:pPr>
        <w:numPr>
          <w:ilvl w:val="0"/>
          <w:numId w:val="2"/>
        </w:numPr>
        <w:autoSpaceDE w:val="0"/>
        <w:autoSpaceDN w:val="0"/>
        <w:adjustRightInd w:val="0"/>
        <w:ind w:hanging="720"/>
        <w:jc w:val="both"/>
      </w:pPr>
      <w:r w:rsidRPr="00803DB8">
        <w:t>If no expenditures are invoiced within a six month peri</w:t>
      </w:r>
      <w:r w:rsidR="00C039A1" w:rsidRPr="00803DB8">
        <w:t xml:space="preserve">od, the project may risk losing </w:t>
      </w:r>
      <w:r w:rsidRPr="00803DB8">
        <w:t>its</w:t>
      </w:r>
      <w:r w:rsidR="00C039A1" w:rsidRPr="00803DB8">
        <w:t xml:space="preserve"> </w:t>
      </w:r>
      <w:r w:rsidRPr="00803DB8">
        <w:t>funds.</w:t>
      </w:r>
    </w:p>
    <w:p w:rsidR="00754A9E" w:rsidRPr="00DA5EC4" w:rsidRDefault="00BF6289" w:rsidP="00FB08FC">
      <w:pPr>
        <w:numPr>
          <w:ilvl w:val="0"/>
          <w:numId w:val="2"/>
        </w:numPr>
        <w:autoSpaceDE w:val="0"/>
        <w:autoSpaceDN w:val="0"/>
        <w:adjustRightInd w:val="0"/>
        <w:ind w:hanging="720"/>
        <w:jc w:val="both"/>
      </w:pPr>
      <w:r w:rsidRPr="00803DB8">
        <w:t xml:space="preserve">Administering agency must submit semi-annual progress reports to OCTA </w:t>
      </w:r>
      <w:r w:rsidR="001C5FE6" w:rsidRPr="00803DB8">
        <w:t>March</w:t>
      </w:r>
      <w:r w:rsidR="009B6FA5" w:rsidRPr="00803DB8">
        <w:t xml:space="preserve"> </w:t>
      </w:r>
      <w:r w:rsidR="001C5FE6" w:rsidRPr="00803DB8">
        <w:t>1</w:t>
      </w:r>
      <w:r w:rsidR="009B6FA5" w:rsidRPr="00803DB8">
        <w:t>, 2016</w:t>
      </w:r>
      <w:r w:rsidRPr="00803DB8">
        <w:t xml:space="preserve"> </w:t>
      </w:r>
      <w:r w:rsidR="009B6FA5" w:rsidRPr="00803DB8">
        <w:t xml:space="preserve">and </w:t>
      </w:r>
      <w:r w:rsidR="001C5FE6" w:rsidRPr="00803DB8">
        <w:t>September</w:t>
      </w:r>
      <w:r w:rsidR="009B6FA5" w:rsidRPr="00803DB8">
        <w:t xml:space="preserve"> </w:t>
      </w:r>
      <w:r w:rsidR="001C5FE6" w:rsidRPr="00803DB8">
        <w:t>1</w:t>
      </w:r>
      <w:r w:rsidR="009B6FA5" w:rsidRPr="00803DB8">
        <w:t xml:space="preserve">, 2016 for the prior </w:t>
      </w:r>
      <w:r w:rsidR="009219F7" w:rsidRPr="00803DB8">
        <w:t>six</w:t>
      </w:r>
      <w:r w:rsidRPr="00803DB8">
        <w:t xml:space="preserve"> months respectively</w:t>
      </w:r>
      <w:r w:rsidRPr="00DA5EC4">
        <w:t xml:space="preserve">. </w:t>
      </w:r>
      <w:r w:rsidR="00353670" w:rsidRPr="00DA5EC4">
        <w:t xml:space="preserve"> (Appendix </w:t>
      </w:r>
      <w:r w:rsidR="0081303F" w:rsidRPr="00DA5EC4">
        <w:t>3</w:t>
      </w:r>
      <w:r w:rsidR="00353670" w:rsidRPr="00DA5EC4">
        <w:t>)</w:t>
      </w:r>
    </w:p>
    <w:p w:rsidR="00F04729" w:rsidRPr="00803DB8" w:rsidRDefault="00F04729" w:rsidP="009219F7">
      <w:pPr>
        <w:numPr>
          <w:ilvl w:val="0"/>
          <w:numId w:val="2"/>
        </w:numPr>
        <w:autoSpaceDE w:val="0"/>
        <w:autoSpaceDN w:val="0"/>
        <w:adjustRightInd w:val="0"/>
        <w:ind w:hanging="720"/>
        <w:jc w:val="both"/>
      </w:pPr>
      <w:r w:rsidRPr="00803DB8">
        <w:t>OCTA requires local agencies to</w:t>
      </w:r>
      <w:r w:rsidR="00B40F20" w:rsidRPr="00803DB8">
        <w:t xml:space="preserve"> report</w:t>
      </w:r>
      <w:r w:rsidRPr="00803DB8">
        <w:t xml:space="preserve"> roadway pavement conditions once every </w:t>
      </w:r>
      <w:r w:rsidR="00AA4B6F" w:rsidRPr="00803DB8">
        <w:br/>
      </w:r>
      <w:r w:rsidRPr="00803DB8">
        <w:t xml:space="preserve">two years in order to maintain eligibility for M2 </w:t>
      </w:r>
      <w:r w:rsidR="009219F7" w:rsidRPr="00803DB8">
        <w:t>f</w:t>
      </w:r>
      <w:r w:rsidRPr="00803DB8">
        <w:t xml:space="preserve">air </w:t>
      </w:r>
      <w:r w:rsidR="009219F7" w:rsidRPr="00803DB8">
        <w:t>s</w:t>
      </w:r>
      <w:r w:rsidRPr="00803DB8">
        <w:t>hare funds.</w:t>
      </w:r>
    </w:p>
    <w:p w:rsidR="00B40F20" w:rsidRPr="00803DB8" w:rsidRDefault="00B40F20" w:rsidP="009219F7">
      <w:pPr>
        <w:numPr>
          <w:ilvl w:val="0"/>
          <w:numId w:val="2"/>
        </w:numPr>
        <w:autoSpaceDE w:val="0"/>
        <w:autoSpaceDN w:val="0"/>
        <w:adjustRightInd w:val="0"/>
        <w:ind w:hanging="720"/>
        <w:jc w:val="both"/>
      </w:pPr>
      <w:r w:rsidRPr="00803DB8">
        <w:t xml:space="preserve">Project must </w:t>
      </w:r>
      <w:r w:rsidR="000F3775" w:rsidRPr="00803DB8">
        <w:t xml:space="preserve">comply where applicable with provisions of </w:t>
      </w:r>
      <w:r w:rsidR="009219F7" w:rsidRPr="00803DB8">
        <w:t>CEQA</w:t>
      </w:r>
      <w:r w:rsidR="000F3775" w:rsidRPr="00803DB8">
        <w:t xml:space="preserve">, the National Environmental Policy Act, the </w:t>
      </w:r>
      <w:r w:rsidR="001D783D" w:rsidRPr="00803DB8">
        <w:t>ADA</w:t>
      </w:r>
      <w:r w:rsidR="000F3775" w:rsidRPr="00803DB8">
        <w:t>, Title VI and Disadva</w:t>
      </w:r>
      <w:r w:rsidR="00AA4B6F" w:rsidRPr="00803DB8">
        <w:t>ntaged Business Enterprise</w:t>
      </w:r>
      <w:r w:rsidR="000F3775" w:rsidRPr="00803DB8">
        <w:t xml:space="preserve">, Buy America provision, the Secretary of the Interior’s Standards and Guidelines for Archaeology and Historic Preservation, </w:t>
      </w:r>
      <w:r w:rsidR="00AA4B6F" w:rsidRPr="00803DB8">
        <w:t>FHWA</w:t>
      </w:r>
      <w:r w:rsidR="000F3775" w:rsidRPr="00803DB8">
        <w:t xml:space="preserve"> </w:t>
      </w:r>
      <w:r w:rsidR="00AA4B6F" w:rsidRPr="00803DB8">
        <w:t>RSTP</w:t>
      </w:r>
      <w:r w:rsidR="000F3775" w:rsidRPr="00803DB8">
        <w:t xml:space="preserve"> Guidance, Caltrans Local Assistance Procedures Manual, if applicable, any other federal, state, and/or local laws, rules and/or regulations.</w:t>
      </w:r>
    </w:p>
    <w:p w:rsidR="009B6FA5" w:rsidRPr="00803DB8" w:rsidRDefault="009B6FA5" w:rsidP="0003213E">
      <w:pPr>
        <w:autoSpaceDE w:val="0"/>
        <w:autoSpaceDN w:val="0"/>
        <w:adjustRightInd w:val="0"/>
        <w:ind w:left="720"/>
        <w:jc w:val="both"/>
      </w:pPr>
    </w:p>
    <w:p w:rsidR="002E651B" w:rsidRPr="00803DB8" w:rsidRDefault="00A97CAF" w:rsidP="002E651B">
      <w:pPr>
        <w:autoSpaceDE w:val="0"/>
        <w:autoSpaceDN w:val="0"/>
        <w:adjustRightInd w:val="0"/>
        <w:rPr>
          <w:b/>
          <w:bCs/>
          <w:sz w:val="28"/>
          <w:szCs w:val="28"/>
          <w:u w:val="single"/>
        </w:rPr>
      </w:pPr>
      <w:r w:rsidRPr="00803DB8">
        <w:rPr>
          <w:b/>
          <w:bCs/>
          <w:sz w:val="28"/>
          <w:szCs w:val="28"/>
          <w:u w:val="single"/>
        </w:rPr>
        <w:t>Timely Use of Funds</w:t>
      </w:r>
    </w:p>
    <w:p w:rsidR="002E651B" w:rsidRPr="00803DB8" w:rsidRDefault="002E651B" w:rsidP="002E651B">
      <w:pPr>
        <w:autoSpaceDE w:val="0"/>
        <w:autoSpaceDN w:val="0"/>
        <w:adjustRightInd w:val="0"/>
        <w:rPr>
          <w:rFonts w:eastAsiaTheme="minorHAnsi"/>
          <w:b/>
          <w:bCs/>
          <w:sz w:val="28"/>
          <w:szCs w:val="28"/>
        </w:rPr>
      </w:pPr>
    </w:p>
    <w:p w:rsidR="00850458" w:rsidRPr="00803DB8" w:rsidRDefault="00970DB7" w:rsidP="001D783D">
      <w:pPr>
        <w:pStyle w:val="ListParagraph"/>
        <w:numPr>
          <w:ilvl w:val="0"/>
          <w:numId w:val="7"/>
        </w:numPr>
        <w:autoSpaceDE w:val="0"/>
        <w:autoSpaceDN w:val="0"/>
        <w:adjustRightInd w:val="0"/>
        <w:ind w:hanging="720"/>
        <w:jc w:val="both"/>
        <w:rPr>
          <w:rFonts w:eastAsiaTheme="minorHAnsi"/>
        </w:rPr>
      </w:pPr>
      <w:r w:rsidRPr="00803DB8">
        <w:rPr>
          <w:rFonts w:eastAsiaTheme="minorHAnsi"/>
        </w:rPr>
        <w:t>A</w:t>
      </w:r>
      <w:r w:rsidR="00F503D7" w:rsidRPr="00803DB8">
        <w:rPr>
          <w:rFonts w:eastAsiaTheme="minorHAnsi"/>
        </w:rPr>
        <w:t>P</w:t>
      </w:r>
      <w:r w:rsidRPr="00803DB8">
        <w:rPr>
          <w:rFonts w:eastAsiaTheme="minorHAnsi"/>
        </w:rPr>
        <w:t>M</w:t>
      </w:r>
      <w:r w:rsidR="00C039A1" w:rsidRPr="00803DB8">
        <w:rPr>
          <w:rFonts w:eastAsiaTheme="minorHAnsi"/>
        </w:rPr>
        <w:t xml:space="preserve"> projects</w:t>
      </w:r>
      <w:r w:rsidR="003439E5" w:rsidRPr="00803DB8">
        <w:rPr>
          <w:rFonts w:eastAsiaTheme="minorHAnsi"/>
        </w:rPr>
        <w:t xml:space="preserve"> must be obligated by May 1st of the FY they are programmed</w:t>
      </w:r>
      <w:r w:rsidR="002E651B" w:rsidRPr="00803DB8">
        <w:rPr>
          <w:rFonts w:eastAsiaTheme="minorHAnsi"/>
        </w:rPr>
        <w:t>.</w:t>
      </w:r>
      <w:r w:rsidR="00754A9E" w:rsidRPr="00803DB8">
        <w:rPr>
          <w:rFonts w:eastAsiaTheme="minorHAnsi"/>
        </w:rPr>
        <w:t xml:space="preserve"> </w:t>
      </w:r>
      <w:r w:rsidR="002E651B" w:rsidRPr="00803DB8">
        <w:rPr>
          <w:rFonts w:eastAsiaTheme="minorHAnsi"/>
        </w:rPr>
        <w:t xml:space="preserve"> If OCTA has not</w:t>
      </w:r>
      <w:r w:rsidR="00C039A1" w:rsidRPr="00803DB8">
        <w:rPr>
          <w:rFonts w:eastAsiaTheme="minorHAnsi"/>
        </w:rPr>
        <w:t xml:space="preserve"> </w:t>
      </w:r>
      <w:r w:rsidR="002E651B" w:rsidRPr="00803DB8">
        <w:rPr>
          <w:rFonts w:eastAsiaTheme="minorHAnsi"/>
        </w:rPr>
        <w:t>received proof of submittal of the E-76 to Caltrans by February 1</w:t>
      </w:r>
      <w:r w:rsidR="003439E5" w:rsidRPr="00803DB8">
        <w:rPr>
          <w:rFonts w:eastAsiaTheme="minorHAnsi"/>
        </w:rPr>
        <w:t>st of the FY</w:t>
      </w:r>
      <w:r w:rsidR="00850458" w:rsidRPr="00803DB8">
        <w:rPr>
          <w:rFonts w:eastAsiaTheme="minorHAnsi"/>
        </w:rPr>
        <w:t xml:space="preserve"> for which the project is</w:t>
      </w:r>
      <w:r w:rsidR="003439E5" w:rsidRPr="00803DB8">
        <w:rPr>
          <w:rFonts w:eastAsiaTheme="minorHAnsi"/>
        </w:rPr>
        <w:t xml:space="preserve"> programmed</w:t>
      </w:r>
      <w:r w:rsidR="002E651B" w:rsidRPr="00803DB8">
        <w:rPr>
          <w:rFonts w:eastAsiaTheme="minorHAnsi"/>
        </w:rPr>
        <w:t xml:space="preserve"> or it is determined that the</w:t>
      </w:r>
      <w:r w:rsidR="00C039A1" w:rsidRPr="00803DB8">
        <w:rPr>
          <w:rFonts w:eastAsiaTheme="minorHAnsi"/>
        </w:rPr>
        <w:t xml:space="preserve"> </w:t>
      </w:r>
      <w:r w:rsidR="002E651B" w:rsidRPr="00803DB8">
        <w:rPr>
          <w:rFonts w:eastAsiaTheme="minorHAnsi"/>
        </w:rPr>
        <w:t>project cannot proceed, the funding for the project will be cancelled.</w:t>
      </w:r>
      <w:bookmarkEnd w:id="6"/>
      <w:bookmarkEnd w:id="7"/>
    </w:p>
    <w:p w:rsidR="00951158" w:rsidRPr="00803DB8" w:rsidRDefault="00951158" w:rsidP="001D783D">
      <w:pPr>
        <w:pStyle w:val="ListParagraph"/>
        <w:autoSpaceDE w:val="0"/>
        <w:autoSpaceDN w:val="0"/>
        <w:adjustRightInd w:val="0"/>
        <w:ind w:hanging="720"/>
        <w:jc w:val="both"/>
        <w:rPr>
          <w:rFonts w:eastAsiaTheme="minorHAnsi"/>
        </w:rPr>
      </w:pPr>
    </w:p>
    <w:p w:rsidR="00951158" w:rsidRPr="00803DB8" w:rsidRDefault="007878D8" w:rsidP="001D783D">
      <w:pPr>
        <w:pStyle w:val="ListParagraph"/>
        <w:numPr>
          <w:ilvl w:val="0"/>
          <w:numId w:val="7"/>
        </w:numPr>
        <w:autoSpaceDE w:val="0"/>
        <w:autoSpaceDN w:val="0"/>
        <w:adjustRightInd w:val="0"/>
        <w:ind w:hanging="720"/>
        <w:jc w:val="both"/>
        <w:rPr>
          <w:rFonts w:eastAsiaTheme="minorHAnsi"/>
        </w:rPr>
      </w:pPr>
      <w:r w:rsidRPr="00803DB8">
        <w:rPr>
          <w:rFonts w:eastAsiaTheme="minorHAnsi"/>
        </w:rPr>
        <w:t>Calif</w:t>
      </w:r>
      <w:r w:rsidR="001D783D" w:rsidRPr="00803DB8">
        <w:rPr>
          <w:rFonts w:eastAsiaTheme="minorHAnsi"/>
        </w:rPr>
        <w:t>ornia State AB 1012</w:t>
      </w:r>
      <w:r w:rsidRPr="00803DB8">
        <w:rPr>
          <w:rFonts w:eastAsiaTheme="minorHAnsi"/>
        </w:rPr>
        <w:t xml:space="preserve"> requires that RSTP funds are subject to a “timely use of funds” provision. AB</w:t>
      </w:r>
      <w:r w:rsidR="001D783D" w:rsidRPr="00803DB8">
        <w:rPr>
          <w:rFonts w:eastAsiaTheme="minorHAnsi"/>
        </w:rPr>
        <w:t xml:space="preserve"> </w:t>
      </w:r>
      <w:r w:rsidRPr="00803DB8">
        <w:rPr>
          <w:rFonts w:eastAsiaTheme="minorHAnsi"/>
        </w:rPr>
        <w:t>102 requires that once funds are obligated towards a project then the jurisdiction has up to three years to use the funds or lose them.</w:t>
      </w:r>
    </w:p>
    <w:p w:rsidR="00951158" w:rsidRPr="00803DB8" w:rsidRDefault="00951158" w:rsidP="001D783D">
      <w:pPr>
        <w:autoSpaceDE w:val="0"/>
        <w:autoSpaceDN w:val="0"/>
        <w:adjustRightInd w:val="0"/>
        <w:ind w:hanging="720"/>
        <w:jc w:val="both"/>
        <w:rPr>
          <w:rFonts w:eastAsiaTheme="minorHAnsi"/>
        </w:rPr>
      </w:pPr>
    </w:p>
    <w:p w:rsidR="00951158" w:rsidRPr="00803DB8" w:rsidRDefault="00951158" w:rsidP="001D783D">
      <w:pPr>
        <w:pStyle w:val="ListParagraph"/>
        <w:numPr>
          <w:ilvl w:val="0"/>
          <w:numId w:val="7"/>
        </w:numPr>
        <w:autoSpaceDE w:val="0"/>
        <w:autoSpaceDN w:val="0"/>
        <w:adjustRightInd w:val="0"/>
        <w:ind w:hanging="720"/>
        <w:jc w:val="both"/>
        <w:rPr>
          <w:rFonts w:eastAsiaTheme="minorHAnsi"/>
        </w:rPr>
      </w:pPr>
      <w:r w:rsidRPr="00803DB8">
        <w:rPr>
          <w:rFonts w:eastAsiaTheme="minorHAnsi"/>
        </w:rPr>
        <w:t xml:space="preserve">The </w:t>
      </w:r>
      <w:r w:rsidR="001D783D" w:rsidRPr="00803DB8">
        <w:rPr>
          <w:rFonts w:eastAsiaTheme="minorHAnsi"/>
        </w:rPr>
        <w:t>l</w:t>
      </w:r>
      <w:r w:rsidRPr="00803DB8">
        <w:rPr>
          <w:rFonts w:eastAsiaTheme="minorHAnsi"/>
        </w:rPr>
        <w:t xml:space="preserve">ocal </w:t>
      </w:r>
      <w:r w:rsidR="001D783D" w:rsidRPr="00803DB8">
        <w:rPr>
          <w:rFonts w:eastAsiaTheme="minorHAnsi"/>
        </w:rPr>
        <w:t>a</w:t>
      </w:r>
      <w:r w:rsidRPr="00803DB8">
        <w:rPr>
          <w:rFonts w:eastAsiaTheme="minorHAnsi"/>
        </w:rPr>
        <w:t>gency will invoice Caltrans at minimum once every six months.</w:t>
      </w:r>
    </w:p>
    <w:p w:rsidR="007004FC" w:rsidRPr="00803DB8" w:rsidRDefault="007004FC" w:rsidP="001D783D">
      <w:pPr>
        <w:pStyle w:val="ListParagraph"/>
        <w:ind w:hanging="720"/>
        <w:rPr>
          <w:rFonts w:eastAsiaTheme="minorHAnsi"/>
        </w:rPr>
      </w:pPr>
    </w:p>
    <w:p w:rsidR="007004FC" w:rsidRPr="00803DB8" w:rsidRDefault="007004FC" w:rsidP="001D783D">
      <w:pPr>
        <w:pStyle w:val="ListParagraph"/>
        <w:numPr>
          <w:ilvl w:val="0"/>
          <w:numId w:val="7"/>
        </w:numPr>
        <w:autoSpaceDE w:val="0"/>
        <w:autoSpaceDN w:val="0"/>
        <w:adjustRightInd w:val="0"/>
        <w:ind w:hanging="720"/>
        <w:jc w:val="both"/>
        <w:rPr>
          <w:rFonts w:eastAsiaTheme="minorHAnsi"/>
        </w:rPr>
      </w:pPr>
      <w:r w:rsidRPr="00803DB8">
        <w:t>A local agency may not advertise for construction prior to receiving E-76 authorization or the project would be ineligible for funding.</w:t>
      </w:r>
    </w:p>
    <w:p w:rsidR="00951158" w:rsidRPr="00803DB8" w:rsidRDefault="00951158" w:rsidP="00951158">
      <w:pPr>
        <w:pStyle w:val="ListParagraph"/>
      </w:pPr>
    </w:p>
    <w:p w:rsidR="00C039A1" w:rsidRPr="00803DB8" w:rsidRDefault="0023121F" w:rsidP="00CD759F">
      <w:pPr>
        <w:pStyle w:val="Heading1"/>
        <w:numPr>
          <w:ilvl w:val="0"/>
          <w:numId w:val="0"/>
        </w:numPr>
        <w:rPr>
          <w:u w:val="single"/>
        </w:rPr>
      </w:pPr>
      <w:bookmarkStart w:id="8" w:name="_Toc244322327"/>
      <w:bookmarkStart w:id="9" w:name="_Toc244322407"/>
      <w:bookmarkStart w:id="10" w:name="_Toc244322486"/>
      <w:bookmarkStart w:id="11" w:name="_Toc244322609"/>
      <w:bookmarkStart w:id="12" w:name="_Toc244327888"/>
      <w:bookmarkStart w:id="13" w:name="_Toc244327954"/>
      <w:bookmarkStart w:id="14" w:name="_Toc244328221"/>
      <w:bookmarkStart w:id="15" w:name="_Toc244328330"/>
      <w:bookmarkStart w:id="16" w:name="_Toc244328389"/>
      <w:bookmarkStart w:id="17" w:name="_Toc244328447"/>
      <w:bookmarkStart w:id="18" w:name="_Toc244328502"/>
      <w:bookmarkStart w:id="19" w:name="_Toc244328559"/>
      <w:bookmarkStart w:id="20" w:name="_Toc244328801"/>
      <w:bookmarkStart w:id="21" w:name="_Toc244328868"/>
      <w:bookmarkStart w:id="22" w:name="_Toc244328957"/>
      <w:bookmarkStart w:id="23" w:name="_Toc244329143"/>
      <w:bookmarkStart w:id="24" w:name="_Toc244329223"/>
      <w:bookmarkStart w:id="25" w:name="_Toc244329274"/>
      <w:bookmarkStart w:id="26" w:name="_Toc244329757"/>
      <w:bookmarkStart w:id="27" w:name="_Toc244330314"/>
      <w:bookmarkStart w:id="28" w:name="_Toc244330372"/>
      <w:bookmarkStart w:id="29" w:name="_Toc244330769"/>
      <w:bookmarkStart w:id="30" w:name="_Toc244331078"/>
      <w:bookmarkStart w:id="31" w:name="_Toc244331303"/>
      <w:bookmarkStart w:id="32" w:name="_Toc244331362"/>
      <w:bookmarkStart w:id="33" w:name="_Toc24433370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03DB8">
        <w:rPr>
          <w:u w:val="single"/>
        </w:rPr>
        <w:t>Application Process</w:t>
      </w:r>
    </w:p>
    <w:p w:rsidR="00F5194F" w:rsidRPr="009535CA" w:rsidRDefault="00C039A1" w:rsidP="00F5194F">
      <w:pPr>
        <w:jc w:val="both"/>
        <w:rPr>
          <w:rFonts w:eastAsiaTheme="minorHAnsi"/>
        </w:rPr>
      </w:pPr>
      <w:r w:rsidRPr="00803DB8">
        <w:t xml:space="preserve">In order for OCTA to consider a project for funding, applications will be prepared by the local agency responsible for the project implementation. Agencies will be required to complete and submit application materials provided by OCTA for the </w:t>
      </w:r>
      <w:r w:rsidR="000F2AF9" w:rsidRPr="00803DB8">
        <w:t xml:space="preserve">APM Program </w:t>
      </w:r>
      <w:r w:rsidRPr="00803DB8">
        <w:t xml:space="preserve">2014 </w:t>
      </w:r>
      <w:r w:rsidR="001D783D" w:rsidRPr="00803DB8">
        <w:t>c</w:t>
      </w:r>
      <w:r w:rsidR="000F2AF9" w:rsidRPr="00803DB8">
        <w:t xml:space="preserve">all for </w:t>
      </w:r>
      <w:r w:rsidR="001D783D" w:rsidRPr="00803DB8">
        <w:t>p</w:t>
      </w:r>
      <w:r w:rsidRPr="00803DB8">
        <w:t xml:space="preserve">rojects by </w:t>
      </w:r>
      <w:r w:rsidRPr="00485FC8">
        <w:rPr>
          <w:b/>
        </w:rPr>
        <w:t>4:00 p.m. on Friday, September 26, 2014</w:t>
      </w:r>
      <w:r w:rsidRPr="00485FC8">
        <w:t>. Late submittals will not be accepted.</w:t>
      </w:r>
      <w:r w:rsidR="00F5194F" w:rsidRPr="00485FC8">
        <w:t xml:space="preserve"> Please note that </w:t>
      </w:r>
      <w:r w:rsidR="00F5194F" w:rsidRPr="00485FC8">
        <w:rPr>
          <w:rFonts w:eastAsiaTheme="minorHAnsi"/>
        </w:rPr>
        <w:t xml:space="preserve">agencies may submit multiple applications; however, applications beyond the two highest </w:t>
      </w:r>
      <w:r w:rsidR="00F5194F" w:rsidRPr="00485FC8">
        <w:rPr>
          <w:rFonts w:eastAsiaTheme="minorHAnsi"/>
        </w:rPr>
        <w:lastRenderedPageBreak/>
        <w:t>scoring projects will be placed on a separate stand-by list and considered if funding becomes available.</w:t>
      </w:r>
    </w:p>
    <w:p w:rsidR="00C039A1" w:rsidRPr="00803DB8" w:rsidRDefault="00C039A1" w:rsidP="00C039A1">
      <w:pPr>
        <w:autoSpaceDE w:val="0"/>
        <w:autoSpaceDN w:val="0"/>
        <w:adjustRightInd w:val="0"/>
        <w:jc w:val="both"/>
      </w:pPr>
    </w:p>
    <w:p w:rsidR="00C039A1" w:rsidRPr="00803DB8" w:rsidRDefault="00C039A1" w:rsidP="00C039A1">
      <w:pPr>
        <w:autoSpaceDE w:val="0"/>
        <w:autoSpaceDN w:val="0"/>
        <w:adjustRightInd w:val="0"/>
        <w:jc w:val="both"/>
      </w:pPr>
      <w:r w:rsidRPr="00803DB8">
        <w:t>In addition, detailed cost estimates, field survey evaluation documentation, pavement condition indices from respective PMP's, and a council resolution authorizing the application will be required at the time of submittal.</w:t>
      </w:r>
    </w:p>
    <w:p w:rsidR="00A11117" w:rsidRPr="00803DB8" w:rsidRDefault="00A11117" w:rsidP="00C039A1">
      <w:pPr>
        <w:autoSpaceDE w:val="0"/>
        <w:autoSpaceDN w:val="0"/>
        <w:adjustRightInd w:val="0"/>
        <w:jc w:val="both"/>
      </w:pPr>
    </w:p>
    <w:p w:rsidR="00C039A1" w:rsidRPr="00803DB8" w:rsidRDefault="00C039A1" w:rsidP="00C039A1">
      <w:pPr>
        <w:autoSpaceDE w:val="0"/>
        <w:autoSpaceDN w:val="0"/>
        <w:adjustRightInd w:val="0"/>
        <w:jc w:val="both"/>
      </w:pPr>
      <w:r w:rsidRPr="00803DB8">
        <w:t xml:space="preserve">The agency must submit </w:t>
      </w:r>
      <w:r w:rsidRPr="00803DB8">
        <w:rPr>
          <w:b/>
        </w:rPr>
        <w:t>three unbound hardcopies</w:t>
      </w:r>
      <w:r w:rsidRPr="00803DB8">
        <w:t xml:space="preserve"> of the application and any supporting documentation must be submitted to OCTA by the application deadline.  </w:t>
      </w:r>
    </w:p>
    <w:p w:rsidR="00F80031" w:rsidRDefault="00F80031" w:rsidP="00C039A1">
      <w:pPr>
        <w:autoSpaceDE w:val="0"/>
        <w:autoSpaceDN w:val="0"/>
        <w:adjustRightInd w:val="0"/>
        <w:jc w:val="both"/>
      </w:pPr>
    </w:p>
    <w:p w:rsidR="00C039A1" w:rsidRPr="00803DB8" w:rsidRDefault="00C039A1" w:rsidP="00C039A1">
      <w:pPr>
        <w:autoSpaceDE w:val="0"/>
        <w:autoSpaceDN w:val="0"/>
        <w:adjustRightInd w:val="0"/>
        <w:jc w:val="both"/>
      </w:pPr>
      <w:r w:rsidRPr="00803DB8">
        <w:t xml:space="preserve">Hardcopy applications can be </w:t>
      </w:r>
      <w:r w:rsidRPr="00803DB8">
        <w:rPr>
          <w:u w:val="single"/>
        </w:rPr>
        <w:t>mailed</w:t>
      </w:r>
      <w:r w:rsidRPr="00803DB8">
        <w:t xml:space="preserve"> to:</w:t>
      </w:r>
    </w:p>
    <w:p w:rsidR="00C039A1" w:rsidRPr="00803DB8" w:rsidRDefault="00C039A1" w:rsidP="00C039A1">
      <w:pPr>
        <w:autoSpaceDE w:val="0"/>
        <w:autoSpaceDN w:val="0"/>
        <w:adjustRightInd w:val="0"/>
        <w:jc w:val="both"/>
      </w:pPr>
    </w:p>
    <w:p w:rsidR="00C039A1" w:rsidRPr="00803DB8" w:rsidRDefault="00C039A1" w:rsidP="00C039A1">
      <w:pPr>
        <w:autoSpaceDE w:val="0"/>
        <w:autoSpaceDN w:val="0"/>
        <w:adjustRightInd w:val="0"/>
        <w:jc w:val="both"/>
      </w:pPr>
      <w:r w:rsidRPr="00803DB8">
        <w:t>Ben Ku</w:t>
      </w:r>
    </w:p>
    <w:p w:rsidR="00521DF2" w:rsidRPr="00803DB8" w:rsidRDefault="00521DF2" w:rsidP="00C039A1">
      <w:pPr>
        <w:autoSpaceDE w:val="0"/>
        <w:autoSpaceDN w:val="0"/>
        <w:adjustRightInd w:val="0"/>
        <w:jc w:val="both"/>
      </w:pPr>
      <w:r w:rsidRPr="00803DB8">
        <w:t>Senior Transportation Funding Analyst</w:t>
      </w:r>
    </w:p>
    <w:p w:rsidR="00521DF2" w:rsidRPr="00803DB8" w:rsidRDefault="00521DF2" w:rsidP="00C039A1">
      <w:pPr>
        <w:autoSpaceDE w:val="0"/>
        <w:autoSpaceDN w:val="0"/>
        <w:adjustRightInd w:val="0"/>
        <w:jc w:val="both"/>
      </w:pPr>
      <w:r w:rsidRPr="00803DB8">
        <w:t>Orange County Transportation Authority</w:t>
      </w:r>
    </w:p>
    <w:p w:rsidR="00C039A1" w:rsidRPr="00803DB8" w:rsidRDefault="00C039A1" w:rsidP="00C039A1">
      <w:pPr>
        <w:autoSpaceDE w:val="0"/>
        <w:autoSpaceDN w:val="0"/>
        <w:adjustRightInd w:val="0"/>
        <w:jc w:val="both"/>
      </w:pPr>
      <w:r w:rsidRPr="00803DB8">
        <w:t>550 S. Main Street</w:t>
      </w:r>
    </w:p>
    <w:p w:rsidR="00C039A1" w:rsidRPr="00803DB8" w:rsidRDefault="00C039A1" w:rsidP="00C039A1">
      <w:pPr>
        <w:autoSpaceDE w:val="0"/>
        <w:autoSpaceDN w:val="0"/>
        <w:adjustRightInd w:val="0"/>
        <w:jc w:val="both"/>
      </w:pPr>
      <w:r w:rsidRPr="00803DB8">
        <w:t>P.O. Box 14184</w:t>
      </w:r>
    </w:p>
    <w:p w:rsidR="00C039A1" w:rsidRPr="00803DB8" w:rsidRDefault="00C039A1" w:rsidP="00C039A1">
      <w:pPr>
        <w:autoSpaceDE w:val="0"/>
        <w:autoSpaceDN w:val="0"/>
        <w:adjustRightInd w:val="0"/>
        <w:jc w:val="both"/>
      </w:pPr>
      <w:r w:rsidRPr="00803DB8">
        <w:t>Orange, CA  92863-1584</w:t>
      </w:r>
    </w:p>
    <w:p w:rsidR="00C039A1" w:rsidRPr="00803DB8" w:rsidRDefault="00C039A1" w:rsidP="00C039A1">
      <w:pPr>
        <w:autoSpaceDE w:val="0"/>
        <w:autoSpaceDN w:val="0"/>
        <w:adjustRightInd w:val="0"/>
        <w:jc w:val="both"/>
      </w:pPr>
    </w:p>
    <w:p w:rsidR="00C039A1" w:rsidRPr="00803DB8" w:rsidRDefault="00C039A1" w:rsidP="00C039A1">
      <w:pPr>
        <w:autoSpaceDE w:val="0"/>
        <w:autoSpaceDN w:val="0"/>
        <w:adjustRightInd w:val="0"/>
        <w:jc w:val="both"/>
      </w:pPr>
      <w:r w:rsidRPr="00803DB8">
        <w:t xml:space="preserve">Hardcopy applications can be </w:t>
      </w:r>
      <w:r w:rsidRPr="00803DB8">
        <w:rPr>
          <w:u w:val="single"/>
        </w:rPr>
        <w:t>hand delivered</w:t>
      </w:r>
      <w:r w:rsidRPr="00803DB8">
        <w:t xml:space="preserve"> to:</w:t>
      </w:r>
    </w:p>
    <w:p w:rsidR="00C039A1" w:rsidRPr="00803DB8" w:rsidRDefault="00C039A1" w:rsidP="00C039A1">
      <w:pPr>
        <w:autoSpaceDE w:val="0"/>
        <w:autoSpaceDN w:val="0"/>
        <w:adjustRightInd w:val="0"/>
        <w:jc w:val="both"/>
      </w:pPr>
    </w:p>
    <w:p w:rsidR="00C039A1" w:rsidRPr="00803DB8" w:rsidRDefault="00C039A1" w:rsidP="00C039A1">
      <w:pPr>
        <w:autoSpaceDE w:val="0"/>
        <w:autoSpaceDN w:val="0"/>
        <w:adjustRightInd w:val="0"/>
        <w:jc w:val="both"/>
      </w:pPr>
      <w:r w:rsidRPr="00803DB8">
        <w:t>600 S. Main Street</w:t>
      </w:r>
    </w:p>
    <w:p w:rsidR="00A35500" w:rsidRPr="00803DB8" w:rsidRDefault="00C039A1" w:rsidP="00C039A1">
      <w:pPr>
        <w:autoSpaceDE w:val="0"/>
        <w:autoSpaceDN w:val="0"/>
        <w:adjustRightInd w:val="0"/>
        <w:jc w:val="both"/>
      </w:pPr>
      <w:r w:rsidRPr="00803DB8">
        <w:t>Orange, CA  92868</w:t>
      </w:r>
    </w:p>
    <w:p w:rsidR="002D4C39" w:rsidRPr="009535CA" w:rsidRDefault="002D4C39" w:rsidP="002D4C39">
      <w:pPr>
        <w:pStyle w:val="Heading1"/>
        <w:numPr>
          <w:ilvl w:val="0"/>
          <w:numId w:val="0"/>
        </w:numPr>
        <w:rPr>
          <w:sz w:val="24"/>
          <w:szCs w:val="24"/>
          <w:u w:val="single"/>
        </w:rPr>
      </w:pPr>
      <w:r w:rsidRPr="009535CA">
        <w:rPr>
          <w:u w:val="single"/>
        </w:rPr>
        <w:t>Schedule</w:t>
      </w:r>
    </w:p>
    <w:p w:rsidR="00D40C1A" w:rsidRPr="009535CA" w:rsidRDefault="00D40C1A" w:rsidP="002D4C39">
      <w:pPr>
        <w:numPr>
          <w:ilvl w:val="0"/>
          <w:numId w:val="13"/>
        </w:numPr>
        <w:ind w:hanging="720"/>
        <w:jc w:val="both"/>
      </w:pPr>
      <w:r w:rsidRPr="009535CA">
        <w:t>June 11, 2014 – Technical Steering Committee</w:t>
      </w:r>
      <w:r w:rsidR="002078F0" w:rsidRPr="009535CA">
        <w:t xml:space="preserve"> (TSC)</w:t>
      </w:r>
    </w:p>
    <w:p w:rsidR="00D40C1A" w:rsidRPr="009535CA" w:rsidRDefault="00D40C1A" w:rsidP="00D40C1A">
      <w:pPr>
        <w:numPr>
          <w:ilvl w:val="0"/>
          <w:numId w:val="13"/>
        </w:numPr>
        <w:ind w:hanging="720"/>
        <w:jc w:val="both"/>
      </w:pPr>
      <w:r w:rsidRPr="009535CA">
        <w:t>June 25, 2014 – Technical Advisory Committee</w:t>
      </w:r>
      <w:r w:rsidR="002078F0" w:rsidRPr="009535CA">
        <w:t xml:space="preserve"> (TAC)</w:t>
      </w:r>
    </w:p>
    <w:p w:rsidR="002D4C39" w:rsidRPr="009535CA" w:rsidRDefault="002D4C39" w:rsidP="002D4C39">
      <w:pPr>
        <w:numPr>
          <w:ilvl w:val="0"/>
          <w:numId w:val="13"/>
        </w:numPr>
        <w:ind w:hanging="720"/>
        <w:jc w:val="both"/>
      </w:pPr>
      <w:r w:rsidRPr="009535CA">
        <w:t xml:space="preserve">August 11, 2014 – OCTA Board action considering the 2014 call </w:t>
      </w:r>
      <w:r w:rsidR="00F80031" w:rsidRPr="009535CA">
        <w:t>for projects</w:t>
      </w:r>
    </w:p>
    <w:p w:rsidR="002D4C39" w:rsidRPr="009535CA" w:rsidRDefault="002D4C39" w:rsidP="002D4C39">
      <w:pPr>
        <w:numPr>
          <w:ilvl w:val="0"/>
          <w:numId w:val="13"/>
        </w:numPr>
        <w:ind w:hanging="720"/>
        <w:jc w:val="both"/>
      </w:pPr>
      <w:r w:rsidRPr="009535CA">
        <w:t>August 19, 2014</w:t>
      </w:r>
      <w:r w:rsidRPr="00DA5EC4">
        <w:t>, August 2</w:t>
      </w:r>
      <w:r w:rsidR="001D576C" w:rsidRPr="00DA5EC4">
        <w:t>0</w:t>
      </w:r>
      <w:r w:rsidRPr="00DA5EC4">
        <w:t>, 2014, and August 2</w:t>
      </w:r>
      <w:r w:rsidR="001D576C" w:rsidRPr="00DA5EC4">
        <w:t>7</w:t>
      </w:r>
      <w:r w:rsidRPr="00DA5EC4">
        <w:t>, 2014 –</w:t>
      </w:r>
      <w:bookmarkStart w:id="34" w:name="_GoBack"/>
      <w:bookmarkEnd w:id="34"/>
      <w:r w:rsidRPr="009535CA">
        <w:t xml:space="preserve"> OCTA workshop to review the procedures and answer questions about the APM call</w:t>
      </w:r>
      <w:r w:rsidR="00F80031" w:rsidRPr="009535CA">
        <w:t xml:space="preserve"> for projects</w:t>
      </w:r>
    </w:p>
    <w:p w:rsidR="002D4C39" w:rsidRPr="009535CA" w:rsidRDefault="002D4C39" w:rsidP="002D4C39">
      <w:pPr>
        <w:numPr>
          <w:ilvl w:val="0"/>
          <w:numId w:val="13"/>
        </w:numPr>
        <w:ind w:hanging="720"/>
        <w:jc w:val="both"/>
      </w:pPr>
      <w:r w:rsidRPr="009535CA">
        <w:t>September 26, 2014 – Applications due to OCTA</w:t>
      </w:r>
    </w:p>
    <w:p w:rsidR="002D4C39" w:rsidRPr="009535CA" w:rsidRDefault="002D4C39" w:rsidP="002D4C39">
      <w:pPr>
        <w:numPr>
          <w:ilvl w:val="0"/>
          <w:numId w:val="13"/>
        </w:numPr>
        <w:ind w:hanging="720"/>
        <w:jc w:val="both"/>
      </w:pPr>
      <w:r w:rsidRPr="009535CA">
        <w:t>October 2014 – OCTA staff will review and rank applications</w:t>
      </w:r>
    </w:p>
    <w:p w:rsidR="002D4C39" w:rsidRPr="001D576C" w:rsidRDefault="002D4C39" w:rsidP="002D4C39">
      <w:pPr>
        <w:numPr>
          <w:ilvl w:val="0"/>
          <w:numId w:val="13"/>
        </w:numPr>
        <w:ind w:hanging="720"/>
        <w:jc w:val="both"/>
      </w:pPr>
      <w:r w:rsidRPr="001D576C">
        <w:t>November 12, 201</w:t>
      </w:r>
      <w:r w:rsidR="002078F0" w:rsidRPr="001D576C">
        <w:t>4 – TSC and TAC</w:t>
      </w:r>
    </w:p>
    <w:p w:rsidR="00D40C1A" w:rsidRPr="009535CA" w:rsidRDefault="00D40C1A" w:rsidP="002D4C39">
      <w:pPr>
        <w:numPr>
          <w:ilvl w:val="0"/>
          <w:numId w:val="13"/>
        </w:numPr>
        <w:ind w:hanging="720"/>
        <w:jc w:val="both"/>
      </w:pPr>
      <w:r w:rsidRPr="009535CA">
        <w:t xml:space="preserve">January 5, 2015 – Regional Planning &amp; Highway </w:t>
      </w:r>
      <w:r w:rsidR="00F33C5B" w:rsidRPr="009535CA">
        <w:t>Committee</w:t>
      </w:r>
    </w:p>
    <w:p w:rsidR="002D4C39" w:rsidRPr="009535CA" w:rsidRDefault="002D4C39" w:rsidP="002D4C39">
      <w:pPr>
        <w:numPr>
          <w:ilvl w:val="0"/>
          <w:numId w:val="13"/>
        </w:numPr>
        <w:ind w:hanging="720"/>
        <w:jc w:val="both"/>
      </w:pPr>
      <w:r w:rsidRPr="009535CA">
        <w:t>January 12, 2015 – Board approval of program of projects</w:t>
      </w:r>
    </w:p>
    <w:p w:rsidR="00914892" w:rsidRPr="00803DB8" w:rsidRDefault="00914892" w:rsidP="00B31BDB">
      <w:pPr>
        <w:pStyle w:val="NoSpacing"/>
        <w:rPr>
          <w:rFonts w:ascii="Times New Roman" w:hAnsi="Times New Roman" w:cs="Times New Roman"/>
          <w:sz w:val="24"/>
          <w:szCs w:val="24"/>
        </w:rPr>
      </w:pPr>
    </w:p>
    <w:p w:rsidR="0023121F" w:rsidRPr="00803DB8" w:rsidRDefault="0023121F" w:rsidP="0023121F">
      <w:pPr>
        <w:autoSpaceDE w:val="0"/>
        <w:autoSpaceDN w:val="0"/>
        <w:adjustRightInd w:val="0"/>
        <w:jc w:val="both"/>
        <w:rPr>
          <w:b/>
          <w:bCs/>
          <w:iCs/>
        </w:rPr>
      </w:pPr>
      <w:r w:rsidRPr="00803DB8">
        <w:rPr>
          <w:b/>
          <w:bCs/>
          <w:iCs/>
        </w:rPr>
        <w:t>Pre-Application Workshops</w:t>
      </w:r>
    </w:p>
    <w:p w:rsidR="0023121F" w:rsidRPr="00803DB8" w:rsidRDefault="0023121F" w:rsidP="0023121F">
      <w:pPr>
        <w:autoSpaceDE w:val="0"/>
        <w:autoSpaceDN w:val="0"/>
        <w:adjustRightInd w:val="0"/>
        <w:jc w:val="both"/>
      </w:pPr>
    </w:p>
    <w:p w:rsidR="0023121F" w:rsidRPr="00803DB8" w:rsidRDefault="0023121F" w:rsidP="0023121F">
      <w:pPr>
        <w:autoSpaceDE w:val="0"/>
        <w:autoSpaceDN w:val="0"/>
        <w:adjustRightInd w:val="0"/>
        <w:jc w:val="both"/>
      </w:pPr>
      <w:r w:rsidRPr="00803DB8">
        <w:t xml:space="preserve">In August, OCTA will be hosting three pre-application workshops and staff will be present to address any questions or concerns regarding the application process and forms. These application workshops will be held at the OCTA administrative offices. Attendance to these workshops are </w:t>
      </w:r>
      <w:r w:rsidRPr="00803DB8">
        <w:lastRenderedPageBreak/>
        <w:t>not required for applicants to participate in this funding opportunity, however it is strongly encouraged.</w:t>
      </w:r>
    </w:p>
    <w:p w:rsidR="0023121F" w:rsidRDefault="0023121F" w:rsidP="0023121F">
      <w:pPr>
        <w:autoSpaceDE w:val="0"/>
        <w:autoSpaceDN w:val="0"/>
        <w:adjustRightInd w:val="0"/>
        <w:jc w:val="both"/>
        <w:rPr>
          <w:b/>
          <w:bCs/>
        </w:rPr>
      </w:pPr>
    </w:p>
    <w:p w:rsidR="0023121F" w:rsidRPr="00803DB8" w:rsidRDefault="0023121F" w:rsidP="0023121F">
      <w:pPr>
        <w:autoSpaceDE w:val="0"/>
        <w:autoSpaceDN w:val="0"/>
        <w:adjustRightInd w:val="0"/>
        <w:jc w:val="both"/>
      </w:pPr>
      <w:r w:rsidRPr="00803DB8">
        <w:rPr>
          <w:b/>
          <w:bCs/>
        </w:rPr>
        <w:t>Application Review and Program Adoption</w:t>
      </w:r>
    </w:p>
    <w:p w:rsidR="0023121F" w:rsidRPr="00803DB8" w:rsidRDefault="0023121F" w:rsidP="0023121F">
      <w:pPr>
        <w:autoSpaceDE w:val="0"/>
        <w:autoSpaceDN w:val="0"/>
        <w:adjustRightInd w:val="0"/>
        <w:jc w:val="both"/>
      </w:pPr>
    </w:p>
    <w:p w:rsidR="00BA7473" w:rsidRDefault="0023121F" w:rsidP="005F788F">
      <w:pPr>
        <w:autoSpaceDE w:val="0"/>
        <w:autoSpaceDN w:val="0"/>
        <w:adjustRightInd w:val="0"/>
        <w:contextualSpacing/>
        <w:jc w:val="both"/>
      </w:pPr>
      <w:r w:rsidRPr="00803DB8">
        <w:t>OCTA staff will conduct a preliminary review of all applications for completeness and accuracy. OCTA may request supplemental information for projects during initial staff evaluations. In addition, OCTA may hire a consultant(s) to verify information within individual applications including, but not limited to, project scope, cost estimates, vehicle miles traveled, and average daily traffic.</w:t>
      </w:r>
    </w:p>
    <w:p w:rsidR="005F788F" w:rsidRDefault="0023121F" w:rsidP="005F788F">
      <w:pPr>
        <w:autoSpaceDE w:val="0"/>
        <w:autoSpaceDN w:val="0"/>
        <w:adjustRightInd w:val="0"/>
        <w:contextualSpacing/>
        <w:jc w:val="both"/>
      </w:pPr>
      <w:r w:rsidRPr="00803DB8">
        <w:t xml:space="preserve"> </w:t>
      </w:r>
    </w:p>
    <w:p w:rsidR="00BA7473" w:rsidRDefault="00BA7473" w:rsidP="005F788F">
      <w:pPr>
        <w:autoSpaceDE w:val="0"/>
        <w:autoSpaceDN w:val="0"/>
        <w:adjustRightInd w:val="0"/>
        <w:contextualSpacing/>
        <w:jc w:val="both"/>
      </w:pPr>
    </w:p>
    <w:p w:rsidR="00BA7473" w:rsidRDefault="00BA7473" w:rsidP="00BA7473">
      <w:pPr>
        <w:autoSpaceDE w:val="0"/>
        <w:autoSpaceDN w:val="0"/>
        <w:adjustRightInd w:val="0"/>
        <w:contextualSpacing/>
        <w:rPr>
          <w:b/>
          <w:sz w:val="28"/>
        </w:rPr>
      </w:pPr>
      <w:r w:rsidRPr="00803DB8">
        <w:rPr>
          <w:b/>
          <w:sz w:val="28"/>
        </w:rPr>
        <w:t>APPENDI</w:t>
      </w:r>
      <w:r>
        <w:rPr>
          <w:b/>
          <w:sz w:val="28"/>
        </w:rPr>
        <w:t>X 1</w:t>
      </w:r>
      <w:r w:rsidRPr="00803DB8">
        <w:rPr>
          <w:b/>
          <w:sz w:val="28"/>
        </w:rPr>
        <w:t xml:space="preserve">: </w:t>
      </w:r>
      <w:r>
        <w:rPr>
          <w:b/>
          <w:sz w:val="28"/>
        </w:rPr>
        <w:t>Master Plan of Arterial Highways</w:t>
      </w:r>
      <w:r w:rsidRPr="00BA7473">
        <w:t xml:space="preserve"> </w:t>
      </w:r>
      <w:r>
        <w:rPr>
          <w:b/>
          <w:noProof/>
          <w:sz w:val="28"/>
        </w:rPr>
        <w:drawing>
          <wp:inline distT="0" distB="0" distL="0" distR="0" wp14:anchorId="112A45ED" wp14:editId="1DC95FF4">
            <wp:extent cx="5943600" cy="3962400"/>
            <wp:effectExtent l="57150" t="57150" r="38100" b="57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AH_2013-08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a:scene3d>
                      <a:camera prst="orthographicFront">
                        <a:rot lat="0" lon="0" rev="0"/>
                      </a:camera>
                      <a:lightRig rig="threePt" dir="t"/>
                    </a:scene3d>
                  </pic:spPr>
                </pic:pic>
              </a:graphicData>
            </a:graphic>
          </wp:inline>
        </w:drawing>
      </w:r>
    </w:p>
    <w:p w:rsidR="00BA7473" w:rsidRPr="00BA7473" w:rsidRDefault="00BA7473">
      <w:pPr>
        <w:spacing w:after="200" w:line="276" w:lineRule="auto"/>
        <w:rPr>
          <w:rFonts w:asciiTheme="minorHAnsi" w:eastAsiaTheme="minorHAnsi" w:hAnsiTheme="minorHAnsi" w:cstheme="minorBidi"/>
          <w:b/>
          <w:sz w:val="20"/>
          <w:szCs w:val="20"/>
        </w:rPr>
      </w:pPr>
      <w:r w:rsidRPr="00BA7473">
        <w:rPr>
          <w:b/>
          <w:sz w:val="20"/>
          <w:szCs w:val="20"/>
        </w:rPr>
        <w:t xml:space="preserve">http://www.octa.net/Freeways-and-Streets/Streets/Master-Road-Plan/Overview/ </w:t>
      </w:r>
      <w:r w:rsidRPr="00BA7473">
        <w:rPr>
          <w:b/>
          <w:sz w:val="20"/>
          <w:szCs w:val="20"/>
        </w:rPr>
        <w:br w:type="page"/>
      </w:r>
    </w:p>
    <w:p w:rsidR="00914892" w:rsidRPr="00803DB8" w:rsidRDefault="00914892" w:rsidP="00F746E8">
      <w:pPr>
        <w:pStyle w:val="NoSpacing"/>
        <w:rPr>
          <w:b/>
          <w:sz w:val="28"/>
        </w:rPr>
      </w:pPr>
      <w:r w:rsidRPr="00803DB8">
        <w:rPr>
          <w:b/>
          <w:sz w:val="28"/>
        </w:rPr>
        <w:lastRenderedPageBreak/>
        <w:t>APPENDI</w:t>
      </w:r>
      <w:r w:rsidR="0056299B">
        <w:rPr>
          <w:b/>
          <w:sz w:val="28"/>
        </w:rPr>
        <w:t xml:space="preserve">X </w:t>
      </w:r>
      <w:r w:rsidR="00BA7473">
        <w:rPr>
          <w:b/>
          <w:sz w:val="28"/>
        </w:rPr>
        <w:t>2</w:t>
      </w:r>
      <w:r w:rsidRPr="00803DB8">
        <w:rPr>
          <w:b/>
          <w:sz w:val="28"/>
        </w:rPr>
        <w:t xml:space="preserve">: </w:t>
      </w:r>
      <w:r w:rsidR="006E61D3" w:rsidRPr="00803DB8">
        <w:rPr>
          <w:b/>
          <w:sz w:val="28"/>
        </w:rPr>
        <w:t>ARTERIAL PAVEMENT MANAGEMENT SCORING CRITERIA</w:t>
      </w:r>
    </w:p>
    <w:p w:rsidR="00246C37" w:rsidRPr="00803DB8" w:rsidRDefault="00246C37" w:rsidP="00246C37"/>
    <w:p w:rsidR="00875BBD" w:rsidRPr="00803DB8" w:rsidRDefault="00246C37" w:rsidP="00D04953">
      <w:r w:rsidRPr="00803DB8">
        <w:t>The following is a list of criteria used to evaluate projects in t</w:t>
      </w:r>
      <w:r w:rsidR="001D783D" w:rsidRPr="00803DB8">
        <w:t>he APM Program</w:t>
      </w:r>
      <w:r w:rsidRPr="00803DB8">
        <w:t xml:space="preserve">.  </w:t>
      </w:r>
      <w:r w:rsidR="00D04953" w:rsidRPr="00803DB8">
        <w:t xml:space="preserve"> </w:t>
      </w:r>
    </w:p>
    <w:p w:rsidR="00875BBD" w:rsidRPr="00803DB8" w:rsidRDefault="00875BBD" w:rsidP="00D04953"/>
    <w:p w:rsidR="00F2194B" w:rsidRPr="00803DB8" w:rsidRDefault="00554507" w:rsidP="00D04953">
      <w:r w:rsidRPr="00554507">
        <w:rPr>
          <w:noProof/>
        </w:rPr>
        <w:drawing>
          <wp:inline distT="0" distB="0" distL="0" distR="0" wp14:anchorId="16FF9168" wp14:editId="6579EEFD">
            <wp:extent cx="5943600" cy="6382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382170"/>
                    </a:xfrm>
                    <a:prstGeom prst="rect">
                      <a:avLst/>
                    </a:prstGeom>
                    <a:noFill/>
                    <a:ln>
                      <a:noFill/>
                    </a:ln>
                  </pic:spPr>
                </pic:pic>
              </a:graphicData>
            </a:graphic>
          </wp:inline>
        </w:drawing>
      </w:r>
    </w:p>
    <w:p w:rsidR="007C3237" w:rsidRPr="00803DB8" w:rsidRDefault="007C3237" w:rsidP="00D04953"/>
    <w:p w:rsidR="00914892" w:rsidRPr="00803DB8" w:rsidRDefault="00914892" w:rsidP="00914892">
      <w:pPr>
        <w:pStyle w:val="TxBr2p5"/>
        <w:tabs>
          <w:tab w:val="clear" w:pos="204"/>
        </w:tabs>
        <w:spacing w:before="120" w:after="120" w:line="240" w:lineRule="auto"/>
        <w:jc w:val="center"/>
        <w:rPr>
          <w:b/>
          <w:sz w:val="28"/>
        </w:rPr>
      </w:pPr>
      <w:r w:rsidRPr="00803DB8">
        <w:rPr>
          <w:b/>
          <w:sz w:val="28"/>
        </w:rPr>
        <w:lastRenderedPageBreak/>
        <w:t>APPEND</w:t>
      </w:r>
      <w:r w:rsidR="00E157D4" w:rsidRPr="00803DB8">
        <w:rPr>
          <w:b/>
          <w:sz w:val="28"/>
        </w:rPr>
        <w:t xml:space="preserve">IX </w:t>
      </w:r>
      <w:r w:rsidR="00BA7473">
        <w:rPr>
          <w:b/>
          <w:sz w:val="28"/>
        </w:rPr>
        <w:t>3</w:t>
      </w:r>
      <w:r w:rsidR="00E157D4" w:rsidRPr="00803DB8">
        <w:rPr>
          <w:b/>
          <w:sz w:val="28"/>
        </w:rPr>
        <w:t>: SEMI-</w:t>
      </w:r>
      <w:r w:rsidRPr="00803DB8">
        <w:rPr>
          <w:b/>
          <w:sz w:val="28"/>
        </w:rPr>
        <w:t>ANNUAL REPORT FORM</w:t>
      </w:r>
    </w:p>
    <w:p w:rsidR="00914892" w:rsidRPr="00803DB8" w:rsidRDefault="00914892" w:rsidP="00914892">
      <w:pPr>
        <w:pStyle w:val="TxBr2p5"/>
        <w:tabs>
          <w:tab w:val="clear" w:pos="204"/>
        </w:tabs>
        <w:spacing w:before="120" w:after="120" w:line="240" w:lineRule="auto"/>
        <w:rPr>
          <w:sz w:val="28"/>
          <w:u w:val="single"/>
        </w:rPr>
      </w:pPr>
      <w:r w:rsidRPr="00803DB8">
        <w:rPr>
          <w:sz w:val="28"/>
        </w:rPr>
        <w:t xml:space="preserve">Project Title:  </w:t>
      </w:r>
      <w:r w:rsidRPr="00803DB8">
        <w:rPr>
          <w:sz w:val="28"/>
          <w:u w:val="single"/>
        </w:rPr>
        <w:t>____________________________________________________</w:t>
      </w:r>
    </w:p>
    <w:p w:rsidR="00914892" w:rsidRPr="00803DB8" w:rsidRDefault="00914892" w:rsidP="00914892">
      <w:pPr>
        <w:pStyle w:val="TxBr2p5"/>
        <w:tabs>
          <w:tab w:val="clear" w:pos="204"/>
        </w:tabs>
        <w:spacing w:before="120" w:after="120" w:line="240" w:lineRule="auto"/>
        <w:rPr>
          <w:sz w:val="28"/>
        </w:rPr>
      </w:pPr>
      <w:r w:rsidRPr="00803DB8">
        <w:rPr>
          <w:sz w:val="28"/>
        </w:rPr>
        <w:t>Agency:</w:t>
      </w:r>
      <w:r w:rsidRPr="00803DB8">
        <w:rPr>
          <w:sz w:val="28"/>
        </w:rPr>
        <w:tab/>
        <w:t xml:space="preserve">  </w:t>
      </w:r>
      <w:r w:rsidRPr="00803DB8">
        <w:rPr>
          <w:sz w:val="28"/>
          <w:u w:val="single"/>
        </w:rPr>
        <w:t>________________________</w:t>
      </w:r>
      <w:r w:rsidRPr="00803DB8">
        <w:rPr>
          <w:sz w:val="28"/>
        </w:rPr>
        <w:t xml:space="preserve"> Date:</w:t>
      </w:r>
      <w:r w:rsidRPr="00803DB8">
        <w:rPr>
          <w:sz w:val="28"/>
        </w:rPr>
        <w:tab/>
        <w:t>_____________________</w:t>
      </w:r>
    </w:p>
    <w:p w:rsidR="00914892" w:rsidRPr="00803DB8" w:rsidRDefault="00914892" w:rsidP="00914892">
      <w:pPr>
        <w:pStyle w:val="TxBr2p5"/>
        <w:tabs>
          <w:tab w:val="clear" w:pos="204"/>
        </w:tabs>
        <w:spacing w:before="120" w:after="120" w:line="240" w:lineRule="auto"/>
        <w:rPr>
          <w:sz w:val="28"/>
        </w:rPr>
      </w:pPr>
    </w:p>
    <w:tbl>
      <w:tblPr>
        <w:tblW w:w="7938" w:type="dxa"/>
        <w:tblInd w:w="90" w:type="dxa"/>
        <w:tblLook w:val="04A0" w:firstRow="1" w:lastRow="0" w:firstColumn="1" w:lastColumn="0" w:noHBand="0" w:noVBand="1"/>
      </w:tblPr>
      <w:tblGrid>
        <w:gridCol w:w="5238"/>
        <w:gridCol w:w="1350"/>
        <w:gridCol w:w="1440"/>
      </w:tblGrid>
      <w:tr w:rsidR="00914892" w:rsidRPr="00803DB8" w:rsidTr="002C240C">
        <w:trPr>
          <w:trHeight w:val="255"/>
        </w:trPr>
        <w:tc>
          <w:tcPr>
            <w:tcW w:w="5238" w:type="dxa"/>
            <w:tcBorders>
              <w:top w:val="nil"/>
              <w:left w:val="nil"/>
              <w:bottom w:val="nil"/>
              <w:right w:val="nil"/>
            </w:tcBorders>
            <w:shd w:val="clear" w:color="auto" w:fill="auto"/>
            <w:noWrap/>
            <w:vAlign w:val="bottom"/>
            <w:hideMark/>
          </w:tcPr>
          <w:p w:rsidR="00914892" w:rsidRPr="00803DB8" w:rsidRDefault="00914892" w:rsidP="006E61D3">
            <w:pPr>
              <w:rPr>
                <w:color w:val="000000"/>
              </w:rPr>
            </w:pPr>
            <w:r w:rsidRPr="00803DB8">
              <w:rPr>
                <w:color w:val="000000"/>
              </w:rPr>
              <w:t>Schedule</w:t>
            </w:r>
          </w:p>
        </w:tc>
        <w:tc>
          <w:tcPr>
            <w:tcW w:w="1260" w:type="dxa"/>
            <w:tcBorders>
              <w:top w:val="nil"/>
              <w:left w:val="nil"/>
              <w:bottom w:val="nil"/>
              <w:right w:val="nil"/>
            </w:tcBorders>
            <w:shd w:val="clear" w:color="auto" w:fill="auto"/>
            <w:noWrap/>
            <w:vAlign w:val="bottom"/>
            <w:hideMark/>
          </w:tcPr>
          <w:p w:rsidR="00914892" w:rsidRPr="00803DB8" w:rsidRDefault="00914892" w:rsidP="006E61D3">
            <w:pPr>
              <w:jc w:val="center"/>
              <w:rPr>
                <w:color w:val="000000"/>
              </w:rPr>
            </w:pPr>
            <w:r w:rsidRPr="00803DB8">
              <w:rPr>
                <w:color w:val="000000"/>
              </w:rPr>
              <w:t>Original Completion Date</w:t>
            </w:r>
          </w:p>
        </w:tc>
        <w:tc>
          <w:tcPr>
            <w:tcW w:w="1440" w:type="dxa"/>
            <w:tcBorders>
              <w:top w:val="nil"/>
              <w:left w:val="nil"/>
              <w:bottom w:val="nil"/>
              <w:right w:val="nil"/>
            </w:tcBorders>
            <w:shd w:val="clear" w:color="auto" w:fill="auto"/>
            <w:noWrap/>
            <w:vAlign w:val="bottom"/>
            <w:hideMark/>
          </w:tcPr>
          <w:p w:rsidR="00914892" w:rsidRPr="00803DB8" w:rsidRDefault="00914892" w:rsidP="006E61D3">
            <w:pPr>
              <w:jc w:val="center"/>
              <w:rPr>
                <w:color w:val="000000"/>
              </w:rPr>
            </w:pPr>
            <w:r w:rsidRPr="00803DB8">
              <w:rPr>
                <w:color w:val="000000"/>
              </w:rPr>
              <w:t>Current Completion Date</w:t>
            </w:r>
          </w:p>
        </w:tc>
      </w:tr>
      <w:tr w:rsidR="00914892" w:rsidRPr="00803DB8" w:rsidTr="002C240C">
        <w:trPr>
          <w:trHeight w:val="255"/>
        </w:trPr>
        <w:tc>
          <w:tcPr>
            <w:tcW w:w="52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Draft Environmental Document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Final Environmental Document</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Begin Design Engineering</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Plans, Specifications, and Cost Estimates complete</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Submit Request for Authorization for Const</w:t>
            </w:r>
            <w:r w:rsidR="002C240C" w:rsidRPr="00803DB8">
              <w:t>.</w:t>
            </w:r>
            <w:r w:rsidRPr="00803DB8">
              <w:t xml:space="preserve"> (E-76)</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Ready to Advertise</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Award Construction</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r w:rsidR="00914892" w:rsidRPr="00803DB8" w:rsidTr="002C240C">
        <w:trPr>
          <w:trHeight w:val="255"/>
        </w:trPr>
        <w:tc>
          <w:tcPr>
            <w:tcW w:w="5238" w:type="dxa"/>
            <w:tcBorders>
              <w:top w:val="nil"/>
              <w:left w:val="single" w:sz="4" w:space="0" w:color="auto"/>
              <w:bottom w:val="single" w:sz="4" w:space="0" w:color="auto"/>
              <w:right w:val="single" w:sz="4" w:space="0" w:color="auto"/>
            </w:tcBorders>
            <w:shd w:val="clear" w:color="000000" w:fill="FFFFFF"/>
            <w:noWrap/>
            <w:vAlign w:val="bottom"/>
            <w:hideMark/>
          </w:tcPr>
          <w:p w:rsidR="00914892" w:rsidRPr="00803DB8" w:rsidRDefault="00914892" w:rsidP="006E61D3">
            <w:r w:rsidRPr="00803DB8">
              <w:t>Project Completion (open for use)</w:t>
            </w:r>
          </w:p>
        </w:tc>
        <w:tc>
          <w:tcPr>
            <w:tcW w:w="126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14892" w:rsidRPr="00803DB8" w:rsidRDefault="00914892" w:rsidP="006E61D3">
            <w:pPr>
              <w:rPr>
                <w:color w:val="000000"/>
              </w:rPr>
            </w:pPr>
            <w:r w:rsidRPr="00803DB8">
              <w:rPr>
                <w:color w:val="000000"/>
              </w:rPr>
              <w:t> </w:t>
            </w:r>
          </w:p>
        </w:tc>
      </w:tr>
    </w:tbl>
    <w:p w:rsidR="00914892" w:rsidRPr="00803DB8" w:rsidRDefault="00914892" w:rsidP="00914892"/>
    <w:p w:rsidR="00914892" w:rsidRPr="00803DB8" w:rsidRDefault="00914892" w:rsidP="00914892">
      <w:r w:rsidRPr="00803DB8">
        <w:t>Funding Table:</w:t>
      </w:r>
    </w:p>
    <w:p w:rsidR="00914892" w:rsidRPr="00803DB8" w:rsidRDefault="00914892" w:rsidP="00914892"/>
    <w:p w:rsidR="00914892" w:rsidRPr="00803DB8" w:rsidRDefault="00914892" w:rsidP="00914892">
      <w:r w:rsidRPr="00803DB8">
        <w:t>Construction ($000’s)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firstRow="1" w:lastRow="1" w:firstColumn="1" w:lastColumn="1" w:noHBand="0" w:noVBand="1"/>
      </w:tblPr>
      <w:tblGrid>
        <w:gridCol w:w="3348"/>
        <w:gridCol w:w="1170"/>
        <w:gridCol w:w="1350"/>
        <w:gridCol w:w="1260"/>
        <w:gridCol w:w="1260"/>
        <w:gridCol w:w="1368"/>
      </w:tblGrid>
      <w:tr w:rsidR="00914892" w:rsidRPr="00803DB8" w:rsidTr="006E61D3">
        <w:tc>
          <w:tcPr>
            <w:tcW w:w="3348" w:type="dxa"/>
          </w:tcPr>
          <w:p w:rsidR="00914892" w:rsidRPr="00803DB8" w:rsidRDefault="00914892" w:rsidP="006E61D3">
            <w:pPr>
              <w:jc w:val="center"/>
              <w:rPr>
                <w:b/>
                <w:sz w:val="20"/>
              </w:rPr>
            </w:pPr>
            <w:r w:rsidRPr="00803DB8">
              <w:rPr>
                <w:b/>
                <w:sz w:val="20"/>
              </w:rPr>
              <w:t>Fund Source</w:t>
            </w:r>
          </w:p>
        </w:tc>
        <w:tc>
          <w:tcPr>
            <w:tcW w:w="1170" w:type="dxa"/>
          </w:tcPr>
          <w:p w:rsidR="00914892" w:rsidRPr="00803DB8" w:rsidRDefault="00914892" w:rsidP="006E61D3">
            <w:pPr>
              <w:jc w:val="center"/>
              <w:rPr>
                <w:b/>
                <w:sz w:val="20"/>
              </w:rPr>
            </w:pPr>
            <w:r w:rsidRPr="00803DB8">
              <w:rPr>
                <w:b/>
                <w:sz w:val="20"/>
              </w:rPr>
              <w:t>Fiscal Year</w:t>
            </w:r>
          </w:p>
        </w:tc>
        <w:tc>
          <w:tcPr>
            <w:tcW w:w="1350" w:type="dxa"/>
          </w:tcPr>
          <w:p w:rsidR="00914892" w:rsidRPr="00803DB8" w:rsidRDefault="00914892" w:rsidP="006E61D3">
            <w:pPr>
              <w:jc w:val="center"/>
              <w:rPr>
                <w:b/>
                <w:sz w:val="20"/>
              </w:rPr>
            </w:pPr>
            <w:r w:rsidRPr="00803DB8">
              <w:rPr>
                <w:b/>
                <w:sz w:val="20"/>
              </w:rPr>
              <w:t>Planned Obligation</w:t>
            </w:r>
          </w:p>
        </w:tc>
        <w:tc>
          <w:tcPr>
            <w:tcW w:w="1260" w:type="dxa"/>
          </w:tcPr>
          <w:p w:rsidR="00914892" w:rsidRPr="00803DB8" w:rsidRDefault="00914892" w:rsidP="006E61D3">
            <w:pPr>
              <w:jc w:val="center"/>
              <w:rPr>
                <w:b/>
                <w:sz w:val="20"/>
              </w:rPr>
            </w:pPr>
            <w:r w:rsidRPr="00803DB8">
              <w:rPr>
                <w:b/>
                <w:sz w:val="20"/>
              </w:rPr>
              <w:t>Revised Allocation</w:t>
            </w:r>
          </w:p>
        </w:tc>
        <w:tc>
          <w:tcPr>
            <w:tcW w:w="1260" w:type="dxa"/>
          </w:tcPr>
          <w:p w:rsidR="00914892" w:rsidRPr="00803DB8" w:rsidRDefault="00914892" w:rsidP="006E61D3">
            <w:pPr>
              <w:jc w:val="center"/>
              <w:rPr>
                <w:b/>
                <w:sz w:val="20"/>
              </w:rPr>
            </w:pPr>
            <w:r w:rsidRPr="00803DB8">
              <w:rPr>
                <w:b/>
                <w:sz w:val="20"/>
              </w:rPr>
              <w:t>Actual Expended</w:t>
            </w:r>
          </w:p>
        </w:tc>
        <w:tc>
          <w:tcPr>
            <w:tcW w:w="1368" w:type="dxa"/>
          </w:tcPr>
          <w:p w:rsidR="00914892" w:rsidRPr="00803DB8" w:rsidRDefault="00914892" w:rsidP="006E61D3">
            <w:pPr>
              <w:jc w:val="center"/>
              <w:rPr>
                <w:b/>
                <w:sz w:val="20"/>
              </w:rPr>
            </w:pPr>
            <w:r w:rsidRPr="00803DB8">
              <w:rPr>
                <w:b/>
                <w:sz w:val="20"/>
              </w:rPr>
              <w:t>Remaining Allocation</w:t>
            </w:r>
          </w:p>
        </w:tc>
      </w:tr>
      <w:tr w:rsidR="00914892" w:rsidRPr="00803DB8" w:rsidTr="006E61D3">
        <w:tc>
          <w:tcPr>
            <w:tcW w:w="3348" w:type="dxa"/>
          </w:tcPr>
          <w:p w:rsidR="00914892" w:rsidRPr="00803DB8" w:rsidRDefault="00914892" w:rsidP="006E61D3">
            <w:pPr>
              <w:rPr>
                <w:sz w:val="20"/>
              </w:rPr>
            </w:pPr>
          </w:p>
        </w:tc>
        <w:tc>
          <w:tcPr>
            <w:tcW w:w="1170" w:type="dxa"/>
          </w:tcPr>
          <w:p w:rsidR="00914892" w:rsidRPr="00803DB8" w:rsidRDefault="00914892" w:rsidP="006E61D3">
            <w:pPr>
              <w:rPr>
                <w:sz w:val="20"/>
              </w:rPr>
            </w:pPr>
          </w:p>
        </w:tc>
        <w:tc>
          <w:tcPr>
            <w:tcW w:w="135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368" w:type="dxa"/>
          </w:tcPr>
          <w:p w:rsidR="00914892" w:rsidRPr="00803DB8" w:rsidRDefault="00914892" w:rsidP="006E61D3">
            <w:pPr>
              <w:rPr>
                <w:sz w:val="20"/>
              </w:rPr>
            </w:pPr>
          </w:p>
        </w:tc>
      </w:tr>
      <w:tr w:rsidR="00914892" w:rsidRPr="00803DB8" w:rsidTr="006E61D3">
        <w:tc>
          <w:tcPr>
            <w:tcW w:w="3348" w:type="dxa"/>
          </w:tcPr>
          <w:p w:rsidR="00914892" w:rsidRPr="00803DB8" w:rsidRDefault="00914892" w:rsidP="006E61D3">
            <w:pPr>
              <w:rPr>
                <w:sz w:val="20"/>
              </w:rPr>
            </w:pPr>
          </w:p>
        </w:tc>
        <w:tc>
          <w:tcPr>
            <w:tcW w:w="1170" w:type="dxa"/>
          </w:tcPr>
          <w:p w:rsidR="00914892" w:rsidRPr="00803DB8" w:rsidRDefault="00914892" w:rsidP="006E61D3">
            <w:pPr>
              <w:rPr>
                <w:sz w:val="20"/>
              </w:rPr>
            </w:pPr>
          </w:p>
        </w:tc>
        <w:tc>
          <w:tcPr>
            <w:tcW w:w="135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368" w:type="dxa"/>
          </w:tcPr>
          <w:p w:rsidR="00914892" w:rsidRPr="00803DB8" w:rsidRDefault="00914892" w:rsidP="006E61D3">
            <w:pPr>
              <w:rPr>
                <w:sz w:val="20"/>
              </w:rPr>
            </w:pPr>
          </w:p>
        </w:tc>
      </w:tr>
      <w:tr w:rsidR="00914892" w:rsidRPr="00803DB8" w:rsidTr="006E61D3">
        <w:tc>
          <w:tcPr>
            <w:tcW w:w="3348" w:type="dxa"/>
          </w:tcPr>
          <w:p w:rsidR="00914892" w:rsidRPr="00803DB8" w:rsidRDefault="00914892" w:rsidP="006E61D3">
            <w:pPr>
              <w:rPr>
                <w:sz w:val="20"/>
              </w:rPr>
            </w:pPr>
          </w:p>
        </w:tc>
        <w:tc>
          <w:tcPr>
            <w:tcW w:w="1170" w:type="dxa"/>
          </w:tcPr>
          <w:p w:rsidR="00914892" w:rsidRPr="00803DB8" w:rsidRDefault="00914892" w:rsidP="006E61D3">
            <w:pPr>
              <w:rPr>
                <w:sz w:val="20"/>
              </w:rPr>
            </w:pPr>
          </w:p>
        </w:tc>
        <w:tc>
          <w:tcPr>
            <w:tcW w:w="135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368" w:type="dxa"/>
          </w:tcPr>
          <w:p w:rsidR="00914892" w:rsidRPr="00803DB8" w:rsidRDefault="00914892" w:rsidP="006E61D3">
            <w:pPr>
              <w:rPr>
                <w:sz w:val="20"/>
              </w:rPr>
            </w:pPr>
          </w:p>
        </w:tc>
      </w:tr>
      <w:tr w:rsidR="00914892" w:rsidRPr="00803DB8" w:rsidTr="006E61D3">
        <w:tblPrEx>
          <w:tblLook w:val="04A0" w:firstRow="1" w:lastRow="0" w:firstColumn="1" w:lastColumn="0" w:noHBand="0" w:noVBand="1"/>
        </w:tblPrEx>
        <w:tc>
          <w:tcPr>
            <w:tcW w:w="3348" w:type="dxa"/>
          </w:tcPr>
          <w:p w:rsidR="00914892" w:rsidRPr="00803DB8" w:rsidRDefault="00914892" w:rsidP="006E61D3">
            <w:pPr>
              <w:rPr>
                <w:sz w:val="20"/>
              </w:rPr>
            </w:pPr>
          </w:p>
        </w:tc>
        <w:tc>
          <w:tcPr>
            <w:tcW w:w="1170" w:type="dxa"/>
          </w:tcPr>
          <w:p w:rsidR="00914892" w:rsidRPr="00803DB8" w:rsidRDefault="00914892" w:rsidP="006E61D3">
            <w:pPr>
              <w:rPr>
                <w:sz w:val="20"/>
              </w:rPr>
            </w:pPr>
          </w:p>
        </w:tc>
        <w:tc>
          <w:tcPr>
            <w:tcW w:w="135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260" w:type="dxa"/>
          </w:tcPr>
          <w:p w:rsidR="00914892" w:rsidRPr="00803DB8" w:rsidRDefault="00914892" w:rsidP="006E61D3">
            <w:pPr>
              <w:rPr>
                <w:sz w:val="20"/>
              </w:rPr>
            </w:pPr>
          </w:p>
        </w:tc>
        <w:tc>
          <w:tcPr>
            <w:tcW w:w="1368" w:type="dxa"/>
          </w:tcPr>
          <w:p w:rsidR="00914892" w:rsidRPr="00803DB8" w:rsidRDefault="00914892" w:rsidP="006E61D3">
            <w:pPr>
              <w:rPr>
                <w:sz w:val="20"/>
              </w:rPr>
            </w:pPr>
          </w:p>
        </w:tc>
      </w:tr>
    </w:tbl>
    <w:p w:rsidR="00914892" w:rsidRPr="00803DB8" w:rsidRDefault="00914892" w:rsidP="00914892"/>
    <w:p w:rsidR="00914892" w:rsidRPr="00803DB8" w:rsidRDefault="00914892"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15364D" w:rsidRPr="00803DB8" w:rsidRDefault="0015364D" w:rsidP="00914892"/>
    <w:p w:rsidR="000C1B65" w:rsidRPr="00803DB8" w:rsidRDefault="000C1B65" w:rsidP="00914892"/>
    <w:p w:rsidR="0015364D" w:rsidRPr="00803DB8" w:rsidRDefault="0015364D" w:rsidP="00914892"/>
    <w:p w:rsidR="002C240C" w:rsidRPr="00803DB8" w:rsidRDefault="002C240C" w:rsidP="00914892"/>
    <w:p w:rsidR="00914892" w:rsidRPr="00803DB8" w:rsidRDefault="00914892" w:rsidP="00914892">
      <w:r w:rsidRPr="00803DB8">
        <w:t>Major Activities:</w:t>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p w:rsidR="00914892" w:rsidRPr="00803DB8" w:rsidRDefault="00914892" w:rsidP="00914892"/>
    <w:p w:rsidR="00914892" w:rsidRPr="00803DB8" w:rsidRDefault="00914892" w:rsidP="00914892"/>
    <w:p w:rsidR="00914892" w:rsidRPr="00803DB8" w:rsidRDefault="00914892" w:rsidP="00914892">
      <w:r w:rsidRPr="00803DB8">
        <w:t>Status:</w:t>
      </w:r>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p w:rsidR="00914892" w:rsidRPr="00803DB8" w:rsidRDefault="00914892" w:rsidP="00914892"/>
    <w:p w:rsidR="00914892" w:rsidRPr="00803DB8" w:rsidRDefault="00914892" w:rsidP="00914892"/>
    <w:p w:rsidR="00914892" w:rsidRPr="00803DB8" w:rsidRDefault="00914892" w:rsidP="00914892">
      <w:r w:rsidRPr="00803DB8">
        <w:t>Issues:</w:t>
      </w:r>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r w:rsidRPr="00803DB8">
        <w:tab/>
      </w:r>
      <w:r w:rsidRPr="00803DB8">
        <w:tab/>
      </w:r>
      <w:r w:rsidRPr="00803DB8">
        <w:tab/>
        <w:t>_____________________________________________________________</w:t>
      </w:r>
    </w:p>
    <w:p w:rsidR="00914892" w:rsidRPr="00803DB8" w:rsidRDefault="00914892" w:rsidP="00914892"/>
    <w:p w:rsidR="00914892" w:rsidRPr="00803DB8" w:rsidRDefault="00914892" w:rsidP="00914892"/>
    <w:p w:rsidR="00914892" w:rsidRPr="00803DB8" w:rsidRDefault="00914892" w:rsidP="00914892"/>
    <w:p w:rsidR="00914892" w:rsidRPr="00803DB8" w:rsidRDefault="00914892" w:rsidP="00914892">
      <w:r w:rsidRPr="00803DB8">
        <w:t>Name/Title:</w:t>
      </w:r>
      <w:r w:rsidRPr="00803DB8">
        <w:tab/>
      </w:r>
      <w:r w:rsidRPr="00803DB8">
        <w:tab/>
        <w:t>_____________________________________________________________</w:t>
      </w:r>
    </w:p>
    <w:p w:rsidR="00914892" w:rsidRPr="00803DB8" w:rsidRDefault="00914892" w:rsidP="00914892">
      <w:r w:rsidRPr="00803DB8">
        <w:t>Phone:</w:t>
      </w:r>
      <w:r w:rsidRPr="00803DB8">
        <w:tab/>
        <w:t>_______________________ Email: ________________________________</w:t>
      </w:r>
    </w:p>
    <w:p w:rsidR="00914892" w:rsidRPr="00803DB8" w:rsidRDefault="00914892" w:rsidP="00914892"/>
    <w:p w:rsidR="00914892" w:rsidRPr="00803DB8" w:rsidRDefault="00914892" w:rsidP="00914892"/>
    <w:p w:rsidR="00914892" w:rsidRPr="00803DB8" w:rsidRDefault="00914892" w:rsidP="00914892"/>
    <w:p w:rsidR="00914892" w:rsidRPr="000D04A7" w:rsidRDefault="00914892" w:rsidP="00914892">
      <w:r w:rsidRPr="00803DB8">
        <w:t>Note:  OCTA may require additional information on performance of the project related to either air quality or transportation usage.</w:t>
      </w:r>
      <w:r w:rsidRPr="000D04A7">
        <w:t xml:space="preserve"> </w:t>
      </w:r>
    </w:p>
    <w:p w:rsidR="000C1B65" w:rsidRPr="000D04A7" w:rsidRDefault="000C1B65" w:rsidP="00914892"/>
    <w:sectPr w:rsidR="000C1B65" w:rsidRPr="000D04A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E9" w:rsidRDefault="001368E9" w:rsidP="009E2078">
      <w:r>
        <w:separator/>
      </w:r>
    </w:p>
  </w:endnote>
  <w:endnote w:type="continuationSeparator" w:id="0">
    <w:p w:rsidR="001368E9" w:rsidRDefault="001368E9" w:rsidP="009E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1565"/>
      <w:docPartObj>
        <w:docPartGallery w:val="Page Numbers (Bottom of Page)"/>
        <w:docPartUnique/>
      </w:docPartObj>
    </w:sdtPr>
    <w:sdtEndPr>
      <w:rPr>
        <w:noProof/>
      </w:rPr>
    </w:sdtEndPr>
    <w:sdtContent>
      <w:sdt>
        <w:sdtPr>
          <w:id w:val="843750454"/>
          <w:docPartObj>
            <w:docPartGallery w:val="Page Numbers (Bottom of Page)"/>
            <w:docPartUnique/>
          </w:docPartObj>
        </w:sdtPr>
        <w:sdtEndPr>
          <w:rPr>
            <w:noProof/>
          </w:rPr>
        </w:sdtEndPr>
        <w:sdtContent>
          <w:p w:rsidR="006E61D3" w:rsidRDefault="006E61D3" w:rsidP="00F25A57">
            <w:pPr>
              <w:pStyle w:val="Footer"/>
              <w:jc w:val="right"/>
            </w:pPr>
          </w:p>
          <w:p w:rsidR="006E61D3" w:rsidRDefault="006E61D3" w:rsidP="00F25A57">
            <w:pPr>
              <w:pStyle w:val="Footer"/>
              <w:jc w:val="right"/>
            </w:pPr>
            <w:r>
              <w:rPr>
                <w:noProof/>
              </w:rPr>
              <mc:AlternateContent>
                <mc:Choice Requires="wps">
                  <w:drawing>
                    <wp:anchor distT="0" distB="0" distL="114300" distR="114300" simplePos="0" relativeHeight="251660288" behindDoc="0" locked="0" layoutInCell="1" allowOverlap="1" wp14:anchorId="2DBB2DCC" wp14:editId="00D8A555">
                      <wp:simplePos x="0" y="0"/>
                      <wp:positionH relativeFrom="column">
                        <wp:posOffset>-21946</wp:posOffset>
                      </wp:positionH>
                      <wp:positionV relativeFrom="paragraph">
                        <wp:posOffset>119786</wp:posOffset>
                      </wp:positionV>
                      <wp:extent cx="5969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969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pt,9.45pt" to="468.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" strokecolor="black [3213]" strokeweight="1.5pt"/>
                  </w:pict>
                </mc:Fallback>
              </mc:AlternateContent>
            </w:r>
          </w:p>
        </w:sdtContent>
      </w:sdt>
      <w:p w:rsidR="006E61D3" w:rsidRDefault="006E61D3" w:rsidP="00F25A57">
        <w:pPr>
          <w:pStyle w:val="Footer"/>
        </w:pPr>
        <w:r>
          <w:t>Arterial Pavement Management</w:t>
        </w:r>
        <w:r w:rsidRPr="00F25A57">
          <w:t xml:space="preserve"> Program Guidelines</w:t>
        </w:r>
        <w:r>
          <w:tab/>
        </w:r>
        <w:r>
          <w:fldChar w:fldCharType="begin"/>
        </w:r>
        <w:r>
          <w:instrText xml:space="preserve"> PAGE   \* MERGEFORMAT </w:instrText>
        </w:r>
        <w:r>
          <w:fldChar w:fldCharType="separate"/>
        </w:r>
        <w:r w:rsidR="00DA5EC4">
          <w:rPr>
            <w:noProof/>
          </w:rPr>
          <w:t>1</w:t>
        </w:r>
        <w:r>
          <w:rPr>
            <w:noProof/>
          </w:rPr>
          <w:fldChar w:fldCharType="end"/>
        </w:r>
      </w:p>
    </w:sdtContent>
  </w:sdt>
  <w:p w:rsidR="006E61D3" w:rsidRDefault="006E61D3" w:rsidP="0039272B">
    <w:pPr>
      <w:pStyle w:val="Footer"/>
      <w:tabs>
        <w:tab w:val="clear" w:pos="9360"/>
        <w:tab w:val="right" w:pos="121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77458"/>
      <w:docPartObj>
        <w:docPartGallery w:val="Page Numbers (Bottom of Page)"/>
        <w:docPartUnique/>
      </w:docPartObj>
    </w:sdtPr>
    <w:sdtEndPr>
      <w:rPr>
        <w:noProof/>
      </w:rPr>
    </w:sdtEndPr>
    <w:sdtContent>
      <w:sdt>
        <w:sdtPr>
          <w:id w:val="-1931813213"/>
          <w:docPartObj>
            <w:docPartGallery w:val="Page Numbers (Bottom of Page)"/>
            <w:docPartUnique/>
          </w:docPartObj>
        </w:sdtPr>
        <w:sdtEndPr>
          <w:rPr>
            <w:noProof/>
          </w:rPr>
        </w:sdtEndPr>
        <w:sdtContent>
          <w:p w:rsidR="0039272B" w:rsidRDefault="0039272B" w:rsidP="00F25A57">
            <w:pPr>
              <w:pStyle w:val="Footer"/>
              <w:jc w:val="right"/>
            </w:pPr>
          </w:p>
          <w:p w:rsidR="0039272B" w:rsidRDefault="0039272B" w:rsidP="00F25A57">
            <w:pPr>
              <w:pStyle w:val="Footer"/>
              <w:jc w:val="right"/>
            </w:pPr>
            <w:r>
              <w:rPr>
                <w:noProof/>
              </w:rPr>
              <mc:AlternateContent>
                <mc:Choice Requires="wps">
                  <w:drawing>
                    <wp:anchor distT="0" distB="0" distL="114300" distR="114300" simplePos="0" relativeHeight="251663360" behindDoc="0" locked="0" layoutInCell="1" allowOverlap="1" wp14:anchorId="2FF023E1" wp14:editId="2A9D3CE4">
                      <wp:simplePos x="0" y="0"/>
                      <wp:positionH relativeFrom="column">
                        <wp:posOffset>-21946</wp:posOffset>
                      </wp:positionH>
                      <wp:positionV relativeFrom="paragraph">
                        <wp:posOffset>119786</wp:posOffset>
                      </wp:positionV>
                      <wp:extent cx="596900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5969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pt,9.45pt" to="468.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" strokecolor="black [3213]" strokeweight="1.5pt"/>
                  </w:pict>
                </mc:Fallback>
              </mc:AlternateContent>
            </w:r>
          </w:p>
        </w:sdtContent>
      </w:sdt>
      <w:p w:rsidR="0039272B" w:rsidRDefault="0039272B" w:rsidP="00F25A57">
        <w:pPr>
          <w:pStyle w:val="Footer"/>
        </w:pPr>
        <w:r>
          <w:t>Arterial Pavement Management</w:t>
        </w:r>
        <w:r w:rsidRPr="00F25A57">
          <w:t xml:space="preserve"> Program Guidelines</w:t>
        </w:r>
        <w:r>
          <w:tab/>
        </w:r>
        <w:r>
          <w:fldChar w:fldCharType="begin"/>
        </w:r>
        <w:r>
          <w:instrText xml:space="preserve"> PAGE   \* MERGEFORMAT </w:instrText>
        </w:r>
        <w:r>
          <w:fldChar w:fldCharType="separate"/>
        </w:r>
        <w:r w:rsidR="00DA5EC4">
          <w:rPr>
            <w:noProof/>
          </w:rPr>
          <w:t>11</w:t>
        </w:r>
        <w:r>
          <w:rPr>
            <w:noProof/>
          </w:rPr>
          <w:fldChar w:fldCharType="end"/>
        </w:r>
      </w:p>
    </w:sdtContent>
  </w:sdt>
  <w:p w:rsidR="0039272B" w:rsidRDefault="0039272B" w:rsidP="0039272B">
    <w:pPr>
      <w:pStyle w:val="Footer"/>
      <w:tabs>
        <w:tab w:val="clear" w:pos="9360"/>
        <w:tab w:val="right" w:pos="121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E9" w:rsidRDefault="001368E9" w:rsidP="009E2078">
      <w:r>
        <w:separator/>
      </w:r>
    </w:p>
  </w:footnote>
  <w:footnote w:type="continuationSeparator" w:id="0">
    <w:p w:rsidR="001368E9" w:rsidRDefault="001368E9" w:rsidP="009E2078">
      <w:r>
        <w:continuationSeparator/>
      </w:r>
    </w:p>
  </w:footnote>
  <w:footnote w:id="1">
    <w:p w:rsidR="00ED0207" w:rsidRDefault="00ED0207" w:rsidP="00ED0207">
      <w:pPr>
        <w:pStyle w:val="FootnoteText"/>
      </w:pPr>
      <w:r>
        <w:rPr>
          <w:rStyle w:val="FootnoteReference"/>
        </w:rPr>
        <w:footnoteRef/>
      </w:r>
      <w:r>
        <w:t xml:space="preserve"> Design Standards by Caltrans’ </w:t>
      </w:r>
      <w:r w:rsidRPr="000362F2">
        <w:t>Maintenance Technical Advisory Guide (MTAG) Volume I</w:t>
      </w:r>
    </w:p>
  </w:footnote>
  <w:footnote w:id="2">
    <w:p w:rsidR="006E61D3" w:rsidRDefault="006E61D3" w:rsidP="009E2078">
      <w:pPr>
        <w:pStyle w:val="FootnoteText"/>
      </w:pPr>
      <w:r>
        <w:rPr>
          <w:rStyle w:val="FootnoteReference"/>
        </w:rPr>
        <w:footnoteRef/>
      </w:r>
      <w:r>
        <w:t xml:space="preserve"> For federally funded projects, expenditures prior to approval of the E-76 form will not be eligible.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6B" w:rsidRDefault="006F49D7" w:rsidP="005A3679">
    <w:pPr>
      <w:tabs>
        <w:tab w:val="right" w:pos="9360"/>
      </w:tabs>
      <w:jc w:val="both"/>
      <w:rPr>
        <w:b/>
        <w:noProof/>
        <w:sz w:val="36"/>
        <w:szCs w:val="36"/>
      </w:rPr>
    </w:pPr>
    <w:r w:rsidRPr="006105C5">
      <w:rPr>
        <w:noProof/>
        <w:sz w:val="36"/>
        <w:szCs w:val="36"/>
      </w:rPr>
      <w:drawing>
        <wp:anchor distT="0" distB="0" distL="114300" distR="114300" simplePos="0" relativeHeight="251665408" behindDoc="0" locked="0" layoutInCell="1" allowOverlap="1" wp14:anchorId="741A120A" wp14:editId="27330A36">
          <wp:simplePos x="0" y="0"/>
          <wp:positionH relativeFrom="page">
            <wp:posOffset>6082748</wp:posOffset>
          </wp:positionH>
          <wp:positionV relativeFrom="page">
            <wp:posOffset>477078</wp:posOffset>
          </wp:positionV>
          <wp:extent cx="776798" cy="970582"/>
          <wp:effectExtent l="0" t="0" r="4445" b="1270"/>
          <wp:wrapTopAndBottom/>
          <wp:docPr id="8" name="Picture 8" descr="LOGO-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BL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450" cy="972647"/>
                  </a:xfrm>
                  <a:prstGeom prst="rect">
                    <a:avLst/>
                  </a:prstGeom>
                  <a:noFill/>
                  <a:ln>
                    <a:noFill/>
                  </a:ln>
                </pic:spPr>
              </pic:pic>
            </a:graphicData>
          </a:graphic>
          <wp14:sizeRelH relativeFrom="page">
            <wp14:pctWidth>0</wp14:pctWidth>
          </wp14:sizeRelH>
          <wp14:sizeRelV relativeFrom="page">
            <wp14:pctHeight>0</wp14:pctHeight>
          </wp14:sizeRelV>
        </wp:anchor>
      </w:drawing>
    </w:r>
    <w:r w:rsidR="006E61D3" w:rsidRPr="005A3679">
      <w:rPr>
        <w:noProof/>
        <w:sz w:val="36"/>
        <w:szCs w:val="36"/>
      </w:rPr>
      <w:drawing>
        <wp:anchor distT="0" distB="0" distL="114300" distR="114300" simplePos="0" relativeHeight="251661312" behindDoc="0" locked="0" layoutInCell="1" allowOverlap="1" wp14:anchorId="6C1B87C4" wp14:editId="77345559">
          <wp:simplePos x="0" y="0"/>
          <wp:positionH relativeFrom="column">
            <wp:posOffset>7748292</wp:posOffset>
          </wp:positionH>
          <wp:positionV relativeFrom="paragraph">
            <wp:posOffset>-359695</wp:posOffset>
          </wp:positionV>
          <wp:extent cx="600075" cy="729615"/>
          <wp:effectExtent l="0" t="0" r="9525" b="0"/>
          <wp:wrapNone/>
          <wp:docPr id="9" name="Picture 9" descr="http://upload.wikimedia.org/wikipedia/en/archive/9/94/20120902031901!OCTA_Orange_Count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en/archive/9/94/20120902031901!OCTA_Orange_County_logo.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1D3" w:rsidRPr="005A3679">
      <w:rPr>
        <w:b/>
        <w:noProof/>
        <w:sz w:val="36"/>
        <w:szCs w:val="36"/>
      </w:rPr>
      <w:t>Arterial Pavement M</w:t>
    </w:r>
    <w:r w:rsidR="006E61D3">
      <w:rPr>
        <w:b/>
        <w:noProof/>
        <w:sz w:val="36"/>
        <w:szCs w:val="36"/>
      </w:rPr>
      <w:t>anagement</w:t>
    </w:r>
    <w:r w:rsidR="004C576B">
      <w:rPr>
        <w:b/>
        <w:noProof/>
        <w:sz w:val="36"/>
        <w:szCs w:val="36"/>
      </w:rPr>
      <w:t xml:space="preserve"> Program</w:t>
    </w:r>
    <w:r w:rsidR="006E61D3">
      <w:rPr>
        <w:b/>
        <w:noProof/>
        <w:sz w:val="36"/>
        <w:szCs w:val="36"/>
      </w:rPr>
      <w:t xml:space="preserve"> </w:t>
    </w:r>
  </w:p>
  <w:p w:rsidR="00B80185" w:rsidRPr="001D783D" w:rsidRDefault="004C576B" w:rsidP="005A3679">
    <w:pPr>
      <w:tabs>
        <w:tab w:val="right" w:pos="9360"/>
      </w:tabs>
      <w:jc w:val="both"/>
      <w:rPr>
        <w:b/>
        <w:noProof/>
        <w:sz w:val="32"/>
        <w:szCs w:val="28"/>
      </w:rPr>
    </w:pPr>
    <w:r w:rsidRPr="001D783D">
      <w:rPr>
        <w:b/>
        <w:noProof/>
        <w:sz w:val="36"/>
        <w:szCs w:val="36"/>
      </w:rPr>
      <w:t>201</w:t>
    </w:r>
    <w:r w:rsidR="000A6814" w:rsidRPr="001D783D">
      <w:rPr>
        <w:b/>
        <w:noProof/>
        <w:sz w:val="36"/>
        <w:szCs w:val="36"/>
      </w:rPr>
      <w:t>4</w:t>
    </w:r>
    <w:r w:rsidRPr="001D783D">
      <w:rPr>
        <w:b/>
        <w:noProof/>
        <w:sz w:val="36"/>
        <w:szCs w:val="36"/>
      </w:rPr>
      <w:t xml:space="preserve"> Call for Projects</w:t>
    </w:r>
    <w:r w:rsidR="006E61D3" w:rsidRPr="001D783D">
      <w:rPr>
        <w:b/>
        <w:noProof/>
        <w:sz w:val="32"/>
        <w:szCs w:val="28"/>
      </w:rPr>
      <w:t xml:space="preserve"> </w:t>
    </w:r>
  </w:p>
  <w:p w:rsidR="006E61D3" w:rsidRPr="00B80185" w:rsidRDefault="00B80185" w:rsidP="005A3679">
    <w:pPr>
      <w:tabs>
        <w:tab w:val="right" w:pos="9360"/>
      </w:tabs>
      <w:jc w:val="both"/>
      <w:rPr>
        <w:rFonts w:ascii="Tahoma" w:hAnsi="Tahoma" w:cs="Tahoma"/>
        <w:i/>
        <w:noProof/>
        <w:sz w:val="28"/>
        <w:szCs w:val="28"/>
      </w:rPr>
    </w:pPr>
    <w:r w:rsidRPr="00B80185">
      <w:rPr>
        <w:noProof/>
        <w:sz w:val="28"/>
        <w:szCs w:val="28"/>
      </w:rPr>
      <w:t>Program Guidelines and Procedures</w:t>
    </w:r>
    <w:r w:rsidR="006E61D3" w:rsidRPr="00B80185">
      <w:rPr>
        <w:i/>
        <w:noProof/>
        <w:sz w:val="32"/>
        <w:szCs w:val="28"/>
      </w:rPr>
      <w:tab/>
    </w:r>
  </w:p>
  <w:p w:rsidR="006E61D3" w:rsidRDefault="006E6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189"/>
    <w:multiLevelType w:val="hybridMultilevel"/>
    <w:tmpl w:val="62747074"/>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5523925"/>
    <w:multiLevelType w:val="hybridMultilevel"/>
    <w:tmpl w:val="988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37E13"/>
    <w:multiLevelType w:val="hybridMultilevel"/>
    <w:tmpl w:val="299C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E4127"/>
    <w:multiLevelType w:val="hybridMultilevel"/>
    <w:tmpl w:val="8D882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B91FDC"/>
    <w:multiLevelType w:val="singleLevel"/>
    <w:tmpl w:val="66205FE4"/>
    <w:lvl w:ilvl="0">
      <w:start w:val="1"/>
      <w:numFmt w:val="upperRoman"/>
      <w:pStyle w:val="Heading1"/>
      <w:lvlText w:val="%1."/>
      <w:lvlJc w:val="left"/>
      <w:pPr>
        <w:tabs>
          <w:tab w:val="num" w:pos="720"/>
        </w:tabs>
        <w:ind w:left="720" w:hanging="720"/>
      </w:pPr>
      <w:rPr>
        <w:rFonts w:hint="default"/>
      </w:rPr>
    </w:lvl>
  </w:abstractNum>
  <w:abstractNum w:abstractNumId="5">
    <w:nsid w:val="37C127B9"/>
    <w:multiLevelType w:val="hybridMultilevel"/>
    <w:tmpl w:val="9AB0C470"/>
    <w:lvl w:ilvl="0" w:tplc="B3F67000">
      <w:start w:val="1"/>
      <w:numFmt w:val="upp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07625"/>
    <w:multiLevelType w:val="hybridMultilevel"/>
    <w:tmpl w:val="55F0509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084FDF"/>
    <w:multiLevelType w:val="hybridMultilevel"/>
    <w:tmpl w:val="51D6DAF4"/>
    <w:lvl w:ilvl="0" w:tplc="04090001">
      <w:start w:val="1"/>
      <w:numFmt w:val="bullet"/>
      <w:lvlText w:val=""/>
      <w:lvlJc w:val="left"/>
      <w:pPr>
        <w:tabs>
          <w:tab w:val="num" w:pos="720"/>
        </w:tabs>
        <w:ind w:left="720" w:hanging="360"/>
      </w:pPr>
      <w:rPr>
        <w:rFonts w:ascii="Symbol" w:hAnsi="Symbol" w:hint="default"/>
      </w:rPr>
    </w:lvl>
    <w:lvl w:ilvl="1" w:tplc="7A78F032">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1A139E"/>
    <w:multiLevelType w:val="hybridMultilevel"/>
    <w:tmpl w:val="AA16B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400C3E"/>
    <w:multiLevelType w:val="hybridMultilevel"/>
    <w:tmpl w:val="464AE4B6"/>
    <w:lvl w:ilvl="0" w:tplc="DAB4BE3A">
      <w:start w:val="1"/>
      <w:numFmt w:val="upperLetter"/>
      <w:lvlText w:val="%1."/>
      <w:lvlJc w:val="left"/>
      <w:pPr>
        <w:ind w:left="4920" w:hanging="360"/>
      </w:pPr>
      <w:rPr>
        <w:rFonts w:hint="default"/>
      </w:rPr>
    </w:lvl>
    <w:lvl w:ilvl="1" w:tplc="04090019" w:tentative="1">
      <w:start w:val="1"/>
      <w:numFmt w:val="lowerLetter"/>
      <w:lvlText w:val="%2."/>
      <w:lvlJc w:val="left"/>
      <w:pPr>
        <w:ind w:left="5640" w:hanging="360"/>
      </w:pPr>
    </w:lvl>
    <w:lvl w:ilvl="2" w:tplc="0409001B" w:tentative="1">
      <w:start w:val="1"/>
      <w:numFmt w:val="lowerRoman"/>
      <w:lvlText w:val="%3."/>
      <w:lvlJc w:val="right"/>
      <w:pPr>
        <w:ind w:left="6360" w:hanging="180"/>
      </w:pPr>
    </w:lvl>
    <w:lvl w:ilvl="3" w:tplc="0409000F" w:tentative="1">
      <w:start w:val="1"/>
      <w:numFmt w:val="decimal"/>
      <w:lvlText w:val="%4."/>
      <w:lvlJc w:val="left"/>
      <w:pPr>
        <w:ind w:left="7080" w:hanging="360"/>
      </w:pPr>
    </w:lvl>
    <w:lvl w:ilvl="4" w:tplc="04090019" w:tentative="1">
      <w:start w:val="1"/>
      <w:numFmt w:val="lowerLetter"/>
      <w:lvlText w:val="%5."/>
      <w:lvlJc w:val="left"/>
      <w:pPr>
        <w:ind w:left="7800" w:hanging="360"/>
      </w:pPr>
    </w:lvl>
    <w:lvl w:ilvl="5" w:tplc="0409001B" w:tentative="1">
      <w:start w:val="1"/>
      <w:numFmt w:val="lowerRoman"/>
      <w:lvlText w:val="%6."/>
      <w:lvlJc w:val="right"/>
      <w:pPr>
        <w:ind w:left="8520" w:hanging="180"/>
      </w:pPr>
    </w:lvl>
    <w:lvl w:ilvl="6" w:tplc="0409000F" w:tentative="1">
      <w:start w:val="1"/>
      <w:numFmt w:val="decimal"/>
      <w:lvlText w:val="%7."/>
      <w:lvlJc w:val="left"/>
      <w:pPr>
        <w:ind w:left="9240" w:hanging="360"/>
      </w:pPr>
    </w:lvl>
    <w:lvl w:ilvl="7" w:tplc="04090019" w:tentative="1">
      <w:start w:val="1"/>
      <w:numFmt w:val="lowerLetter"/>
      <w:lvlText w:val="%8."/>
      <w:lvlJc w:val="left"/>
      <w:pPr>
        <w:ind w:left="9960" w:hanging="360"/>
      </w:pPr>
    </w:lvl>
    <w:lvl w:ilvl="8" w:tplc="0409001B" w:tentative="1">
      <w:start w:val="1"/>
      <w:numFmt w:val="lowerRoman"/>
      <w:lvlText w:val="%9."/>
      <w:lvlJc w:val="right"/>
      <w:pPr>
        <w:ind w:left="10680" w:hanging="180"/>
      </w:pPr>
    </w:lvl>
  </w:abstractNum>
  <w:abstractNum w:abstractNumId="10">
    <w:nsid w:val="6CA713EC"/>
    <w:multiLevelType w:val="hybridMultilevel"/>
    <w:tmpl w:val="04A6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D83378"/>
    <w:multiLevelType w:val="hybridMultilevel"/>
    <w:tmpl w:val="6356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8"/>
  </w:num>
  <w:num w:numId="5">
    <w:abstractNumId w:val="11"/>
  </w:num>
  <w:num w:numId="6">
    <w:abstractNumId w:val="5"/>
  </w:num>
  <w:num w:numId="7">
    <w:abstractNumId w:val="1"/>
  </w:num>
  <w:num w:numId="8">
    <w:abstractNumId w:val="6"/>
  </w:num>
  <w:num w:numId="9">
    <w:abstractNumId w:val="4"/>
  </w:num>
  <w:num w:numId="10">
    <w:abstractNumId w:val="4"/>
  </w:num>
  <w:num w:numId="11">
    <w:abstractNumId w:val="4"/>
  </w:num>
  <w:num w:numId="12">
    <w:abstractNumId w:val="9"/>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78"/>
    <w:rsid w:val="000161D6"/>
    <w:rsid w:val="0002690E"/>
    <w:rsid w:val="000314AB"/>
    <w:rsid w:val="0003213E"/>
    <w:rsid w:val="000362F2"/>
    <w:rsid w:val="00040ABB"/>
    <w:rsid w:val="000435D2"/>
    <w:rsid w:val="00054787"/>
    <w:rsid w:val="000631B8"/>
    <w:rsid w:val="00067E24"/>
    <w:rsid w:val="00072232"/>
    <w:rsid w:val="000750EC"/>
    <w:rsid w:val="0007764B"/>
    <w:rsid w:val="000A2FFA"/>
    <w:rsid w:val="000A6814"/>
    <w:rsid w:val="000B1A80"/>
    <w:rsid w:val="000C1B65"/>
    <w:rsid w:val="000D04A7"/>
    <w:rsid w:val="000D34E1"/>
    <w:rsid w:val="000D48F2"/>
    <w:rsid w:val="000E6D00"/>
    <w:rsid w:val="000E7617"/>
    <w:rsid w:val="000F2AF9"/>
    <w:rsid w:val="000F3775"/>
    <w:rsid w:val="001015FA"/>
    <w:rsid w:val="001170D4"/>
    <w:rsid w:val="001368E9"/>
    <w:rsid w:val="001370D6"/>
    <w:rsid w:val="00137E3F"/>
    <w:rsid w:val="00142EE7"/>
    <w:rsid w:val="00142EF5"/>
    <w:rsid w:val="00151F4D"/>
    <w:rsid w:val="0015364D"/>
    <w:rsid w:val="0015596E"/>
    <w:rsid w:val="0016545E"/>
    <w:rsid w:val="00177355"/>
    <w:rsid w:val="001901A5"/>
    <w:rsid w:val="001B374A"/>
    <w:rsid w:val="001B4F53"/>
    <w:rsid w:val="001B5A75"/>
    <w:rsid w:val="001C1E5B"/>
    <w:rsid w:val="001C2074"/>
    <w:rsid w:val="001C5E8B"/>
    <w:rsid w:val="001C5FE6"/>
    <w:rsid w:val="001D576C"/>
    <w:rsid w:val="001D783D"/>
    <w:rsid w:val="001E2786"/>
    <w:rsid w:val="001F1A24"/>
    <w:rsid w:val="001F4304"/>
    <w:rsid w:val="00201536"/>
    <w:rsid w:val="002078F0"/>
    <w:rsid w:val="00211A4A"/>
    <w:rsid w:val="002247F2"/>
    <w:rsid w:val="0023121F"/>
    <w:rsid w:val="00234BBB"/>
    <w:rsid w:val="00245CF7"/>
    <w:rsid w:val="00246C37"/>
    <w:rsid w:val="002719C4"/>
    <w:rsid w:val="00274A6F"/>
    <w:rsid w:val="00276D4B"/>
    <w:rsid w:val="00284307"/>
    <w:rsid w:val="002860FF"/>
    <w:rsid w:val="00287A4C"/>
    <w:rsid w:val="00297FA9"/>
    <w:rsid w:val="002A18D5"/>
    <w:rsid w:val="002A502C"/>
    <w:rsid w:val="002B0BC7"/>
    <w:rsid w:val="002C240C"/>
    <w:rsid w:val="002C371E"/>
    <w:rsid w:val="002C4D90"/>
    <w:rsid w:val="002D3397"/>
    <w:rsid w:val="002D3EEC"/>
    <w:rsid w:val="002D4C39"/>
    <w:rsid w:val="002E651B"/>
    <w:rsid w:val="002F3802"/>
    <w:rsid w:val="002F4694"/>
    <w:rsid w:val="0030469E"/>
    <w:rsid w:val="00310635"/>
    <w:rsid w:val="003439E5"/>
    <w:rsid w:val="00353670"/>
    <w:rsid w:val="00355BBC"/>
    <w:rsid w:val="00356BB6"/>
    <w:rsid w:val="00364EF7"/>
    <w:rsid w:val="003669F4"/>
    <w:rsid w:val="0039082F"/>
    <w:rsid w:val="0039272B"/>
    <w:rsid w:val="003A7D53"/>
    <w:rsid w:val="003D1E86"/>
    <w:rsid w:val="003F72B9"/>
    <w:rsid w:val="003F787C"/>
    <w:rsid w:val="004021D2"/>
    <w:rsid w:val="00430477"/>
    <w:rsid w:val="00443DEA"/>
    <w:rsid w:val="00453F4D"/>
    <w:rsid w:val="0045522D"/>
    <w:rsid w:val="00462A69"/>
    <w:rsid w:val="004645D4"/>
    <w:rsid w:val="00466ECD"/>
    <w:rsid w:val="0048282E"/>
    <w:rsid w:val="00485FC8"/>
    <w:rsid w:val="004A4996"/>
    <w:rsid w:val="004B027B"/>
    <w:rsid w:val="004C44A4"/>
    <w:rsid w:val="004C4B90"/>
    <w:rsid w:val="004C576B"/>
    <w:rsid w:val="004E60C6"/>
    <w:rsid w:val="004F02D4"/>
    <w:rsid w:val="004F33E9"/>
    <w:rsid w:val="004F61F0"/>
    <w:rsid w:val="004F6A6D"/>
    <w:rsid w:val="0050196F"/>
    <w:rsid w:val="00501ED2"/>
    <w:rsid w:val="00505609"/>
    <w:rsid w:val="00507EEC"/>
    <w:rsid w:val="00515301"/>
    <w:rsid w:val="00521DF2"/>
    <w:rsid w:val="005271A2"/>
    <w:rsid w:val="005272F8"/>
    <w:rsid w:val="00540760"/>
    <w:rsid w:val="00546934"/>
    <w:rsid w:val="00554507"/>
    <w:rsid w:val="00557EB1"/>
    <w:rsid w:val="0056299B"/>
    <w:rsid w:val="00584714"/>
    <w:rsid w:val="00585FCC"/>
    <w:rsid w:val="00596E5D"/>
    <w:rsid w:val="005A3679"/>
    <w:rsid w:val="005C2162"/>
    <w:rsid w:val="005D0C6A"/>
    <w:rsid w:val="005F1077"/>
    <w:rsid w:val="005F788F"/>
    <w:rsid w:val="006007CA"/>
    <w:rsid w:val="006112AA"/>
    <w:rsid w:val="006163E7"/>
    <w:rsid w:val="00644DAD"/>
    <w:rsid w:val="00674B67"/>
    <w:rsid w:val="00692168"/>
    <w:rsid w:val="00692BC6"/>
    <w:rsid w:val="006A1068"/>
    <w:rsid w:val="006A78A2"/>
    <w:rsid w:val="006B7A35"/>
    <w:rsid w:val="006D12FD"/>
    <w:rsid w:val="006D4A2D"/>
    <w:rsid w:val="006E61D3"/>
    <w:rsid w:val="006F1A53"/>
    <w:rsid w:val="006F49D7"/>
    <w:rsid w:val="007004FC"/>
    <w:rsid w:val="007033BC"/>
    <w:rsid w:val="00703D6D"/>
    <w:rsid w:val="0073787B"/>
    <w:rsid w:val="00751108"/>
    <w:rsid w:val="00754A9E"/>
    <w:rsid w:val="007831AE"/>
    <w:rsid w:val="007878D8"/>
    <w:rsid w:val="007A5390"/>
    <w:rsid w:val="007B3050"/>
    <w:rsid w:val="007B3906"/>
    <w:rsid w:val="007C23AE"/>
    <w:rsid w:val="007C3237"/>
    <w:rsid w:val="007C37D8"/>
    <w:rsid w:val="007C4885"/>
    <w:rsid w:val="007D5457"/>
    <w:rsid w:val="007F3365"/>
    <w:rsid w:val="00803DB8"/>
    <w:rsid w:val="008067DA"/>
    <w:rsid w:val="0081044C"/>
    <w:rsid w:val="0081303F"/>
    <w:rsid w:val="00820BE6"/>
    <w:rsid w:val="00835AA5"/>
    <w:rsid w:val="00837D2F"/>
    <w:rsid w:val="00845539"/>
    <w:rsid w:val="008457DC"/>
    <w:rsid w:val="00845ACE"/>
    <w:rsid w:val="00850458"/>
    <w:rsid w:val="0085195C"/>
    <w:rsid w:val="00851CDA"/>
    <w:rsid w:val="00856666"/>
    <w:rsid w:val="00875BBD"/>
    <w:rsid w:val="00882E28"/>
    <w:rsid w:val="008847A9"/>
    <w:rsid w:val="008B7BBB"/>
    <w:rsid w:val="008C4989"/>
    <w:rsid w:val="008D3183"/>
    <w:rsid w:val="008D6FF8"/>
    <w:rsid w:val="008E3973"/>
    <w:rsid w:val="008E3F9C"/>
    <w:rsid w:val="00900C93"/>
    <w:rsid w:val="009051E5"/>
    <w:rsid w:val="009119BF"/>
    <w:rsid w:val="00914892"/>
    <w:rsid w:val="00917C81"/>
    <w:rsid w:val="009219F7"/>
    <w:rsid w:val="00922743"/>
    <w:rsid w:val="00926721"/>
    <w:rsid w:val="0093549E"/>
    <w:rsid w:val="00936E73"/>
    <w:rsid w:val="00940424"/>
    <w:rsid w:val="009451D0"/>
    <w:rsid w:val="00946BE1"/>
    <w:rsid w:val="00951158"/>
    <w:rsid w:val="009535CA"/>
    <w:rsid w:val="009613F7"/>
    <w:rsid w:val="00963AC4"/>
    <w:rsid w:val="00967DB3"/>
    <w:rsid w:val="00970DB7"/>
    <w:rsid w:val="00990447"/>
    <w:rsid w:val="009947BD"/>
    <w:rsid w:val="009958FE"/>
    <w:rsid w:val="009B00A5"/>
    <w:rsid w:val="009B6FA5"/>
    <w:rsid w:val="009C0BD8"/>
    <w:rsid w:val="009D1401"/>
    <w:rsid w:val="009E2078"/>
    <w:rsid w:val="009E3AB6"/>
    <w:rsid w:val="009E40C1"/>
    <w:rsid w:val="009E6275"/>
    <w:rsid w:val="00A11117"/>
    <w:rsid w:val="00A1178F"/>
    <w:rsid w:val="00A24A04"/>
    <w:rsid w:val="00A35500"/>
    <w:rsid w:val="00A44688"/>
    <w:rsid w:val="00A647BF"/>
    <w:rsid w:val="00A7370B"/>
    <w:rsid w:val="00A8476A"/>
    <w:rsid w:val="00A943D7"/>
    <w:rsid w:val="00A96EEF"/>
    <w:rsid w:val="00A97CAF"/>
    <w:rsid w:val="00AA4B6F"/>
    <w:rsid w:val="00AA5C24"/>
    <w:rsid w:val="00AC19FC"/>
    <w:rsid w:val="00AC2D04"/>
    <w:rsid w:val="00AC55B5"/>
    <w:rsid w:val="00AD2B49"/>
    <w:rsid w:val="00AE14D2"/>
    <w:rsid w:val="00AE1BB1"/>
    <w:rsid w:val="00B05ED2"/>
    <w:rsid w:val="00B13771"/>
    <w:rsid w:val="00B15998"/>
    <w:rsid w:val="00B316B7"/>
    <w:rsid w:val="00B31BDB"/>
    <w:rsid w:val="00B34786"/>
    <w:rsid w:val="00B404E8"/>
    <w:rsid w:val="00B40F20"/>
    <w:rsid w:val="00B734BE"/>
    <w:rsid w:val="00B73A9E"/>
    <w:rsid w:val="00B74E6A"/>
    <w:rsid w:val="00B80185"/>
    <w:rsid w:val="00B93744"/>
    <w:rsid w:val="00BA3F31"/>
    <w:rsid w:val="00BA7473"/>
    <w:rsid w:val="00BB4BC8"/>
    <w:rsid w:val="00BB7541"/>
    <w:rsid w:val="00BC36A8"/>
    <w:rsid w:val="00BC3799"/>
    <w:rsid w:val="00BC4F72"/>
    <w:rsid w:val="00BC5D1E"/>
    <w:rsid w:val="00BC6B10"/>
    <w:rsid w:val="00BE4BE0"/>
    <w:rsid w:val="00BF01B0"/>
    <w:rsid w:val="00BF260F"/>
    <w:rsid w:val="00BF6289"/>
    <w:rsid w:val="00C02941"/>
    <w:rsid w:val="00C039A1"/>
    <w:rsid w:val="00C06B91"/>
    <w:rsid w:val="00C17899"/>
    <w:rsid w:val="00C26C91"/>
    <w:rsid w:val="00C4064A"/>
    <w:rsid w:val="00C47790"/>
    <w:rsid w:val="00C53B82"/>
    <w:rsid w:val="00C55922"/>
    <w:rsid w:val="00C76AF0"/>
    <w:rsid w:val="00C92632"/>
    <w:rsid w:val="00CA4BCA"/>
    <w:rsid w:val="00CB2340"/>
    <w:rsid w:val="00CB5331"/>
    <w:rsid w:val="00CB6D41"/>
    <w:rsid w:val="00CC7F48"/>
    <w:rsid w:val="00CD759F"/>
    <w:rsid w:val="00CE6F14"/>
    <w:rsid w:val="00CF199F"/>
    <w:rsid w:val="00D00822"/>
    <w:rsid w:val="00D03A15"/>
    <w:rsid w:val="00D04953"/>
    <w:rsid w:val="00D23A0E"/>
    <w:rsid w:val="00D25860"/>
    <w:rsid w:val="00D27872"/>
    <w:rsid w:val="00D40C1A"/>
    <w:rsid w:val="00D45B14"/>
    <w:rsid w:val="00D614A6"/>
    <w:rsid w:val="00D6285E"/>
    <w:rsid w:val="00D851D0"/>
    <w:rsid w:val="00D94036"/>
    <w:rsid w:val="00DA0486"/>
    <w:rsid w:val="00DA1BC1"/>
    <w:rsid w:val="00DA5EC4"/>
    <w:rsid w:val="00DB0994"/>
    <w:rsid w:val="00DB0EE2"/>
    <w:rsid w:val="00DD523D"/>
    <w:rsid w:val="00DE0E56"/>
    <w:rsid w:val="00DE6F40"/>
    <w:rsid w:val="00DF34F1"/>
    <w:rsid w:val="00E04E4F"/>
    <w:rsid w:val="00E05069"/>
    <w:rsid w:val="00E157D4"/>
    <w:rsid w:val="00E343EB"/>
    <w:rsid w:val="00E3539F"/>
    <w:rsid w:val="00E573B2"/>
    <w:rsid w:val="00E638A2"/>
    <w:rsid w:val="00EB1AA1"/>
    <w:rsid w:val="00EC1859"/>
    <w:rsid w:val="00ED0207"/>
    <w:rsid w:val="00ED59A6"/>
    <w:rsid w:val="00F03981"/>
    <w:rsid w:val="00F04729"/>
    <w:rsid w:val="00F05E73"/>
    <w:rsid w:val="00F20ED6"/>
    <w:rsid w:val="00F2194B"/>
    <w:rsid w:val="00F23233"/>
    <w:rsid w:val="00F25A57"/>
    <w:rsid w:val="00F27662"/>
    <w:rsid w:val="00F33C5B"/>
    <w:rsid w:val="00F503D7"/>
    <w:rsid w:val="00F5194F"/>
    <w:rsid w:val="00F6032A"/>
    <w:rsid w:val="00F65964"/>
    <w:rsid w:val="00F678C0"/>
    <w:rsid w:val="00F746E8"/>
    <w:rsid w:val="00F80031"/>
    <w:rsid w:val="00F831EE"/>
    <w:rsid w:val="00FA1BD8"/>
    <w:rsid w:val="00FA77E3"/>
    <w:rsid w:val="00FB08FC"/>
    <w:rsid w:val="00FC6FE9"/>
    <w:rsid w:val="00FE262D"/>
    <w:rsid w:val="00FF5ADE"/>
    <w:rsid w:val="00FF5D17"/>
    <w:rsid w:val="00FF7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759F"/>
    <w:pPr>
      <w:keepNext/>
      <w:numPr>
        <w:numId w:val="9"/>
      </w:numPr>
      <w:spacing w:before="120" w:after="120"/>
      <w:jc w:val="both"/>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331"/>
    <w:pPr>
      <w:spacing w:after="0" w:line="240" w:lineRule="auto"/>
    </w:pPr>
  </w:style>
  <w:style w:type="character" w:styleId="FootnoteReference">
    <w:name w:val="footnote reference"/>
    <w:basedOn w:val="DefaultParagraphFont"/>
    <w:uiPriority w:val="99"/>
    <w:rsid w:val="009E2078"/>
    <w:rPr>
      <w:vertAlign w:val="superscript"/>
    </w:rPr>
  </w:style>
  <w:style w:type="paragraph" w:styleId="FootnoteText">
    <w:name w:val="footnote text"/>
    <w:basedOn w:val="Normal"/>
    <w:link w:val="FootnoteTextChar"/>
    <w:rsid w:val="009E2078"/>
    <w:rPr>
      <w:sz w:val="20"/>
      <w:szCs w:val="20"/>
    </w:rPr>
  </w:style>
  <w:style w:type="character" w:customStyle="1" w:styleId="FootnoteTextChar">
    <w:name w:val="Footnote Text Char"/>
    <w:basedOn w:val="DefaultParagraphFont"/>
    <w:link w:val="FootnoteText"/>
    <w:rsid w:val="009E20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078"/>
    <w:pPr>
      <w:tabs>
        <w:tab w:val="center" w:pos="4680"/>
        <w:tab w:val="right" w:pos="9360"/>
      </w:tabs>
    </w:pPr>
  </w:style>
  <w:style w:type="character" w:customStyle="1" w:styleId="HeaderChar">
    <w:name w:val="Header Char"/>
    <w:basedOn w:val="DefaultParagraphFont"/>
    <w:link w:val="Header"/>
    <w:uiPriority w:val="99"/>
    <w:rsid w:val="009E20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078"/>
    <w:pPr>
      <w:tabs>
        <w:tab w:val="center" w:pos="4680"/>
        <w:tab w:val="right" w:pos="9360"/>
      </w:tabs>
    </w:pPr>
  </w:style>
  <w:style w:type="character" w:customStyle="1" w:styleId="FooterChar">
    <w:name w:val="Footer Char"/>
    <w:basedOn w:val="DefaultParagraphFont"/>
    <w:link w:val="Footer"/>
    <w:uiPriority w:val="99"/>
    <w:rsid w:val="009E2078"/>
    <w:rPr>
      <w:rFonts w:ascii="Times New Roman" w:eastAsia="Times New Roman" w:hAnsi="Times New Roman" w:cs="Times New Roman"/>
      <w:sz w:val="24"/>
      <w:szCs w:val="24"/>
    </w:rPr>
  </w:style>
  <w:style w:type="paragraph" w:styleId="ListParagraph">
    <w:name w:val="List Paragraph"/>
    <w:basedOn w:val="Normal"/>
    <w:uiPriority w:val="34"/>
    <w:qFormat/>
    <w:rsid w:val="00151F4D"/>
    <w:pPr>
      <w:ind w:left="720"/>
    </w:pPr>
  </w:style>
  <w:style w:type="paragraph" w:customStyle="1" w:styleId="Default">
    <w:name w:val="Default"/>
    <w:rsid w:val="007C488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92168"/>
    <w:rPr>
      <w:rFonts w:ascii="Tahoma" w:hAnsi="Tahoma" w:cs="Tahoma"/>
      <w:sz w:val="16"/>
      <w:szCs w:val="16"/>
    </w:rPr>
  </w:style>
  <w:style w:type="character" w:customStyle="1" w:styleId="BalloonTextChar">
    <w:name w:val="Balloon Text Char"/>
    <w:basedOn w:val="DefaultParagraphFont"/>
    <w:link w:val="BalloonText"/>
    <w:uiPriority w:val="99"/>
    <w:semiHidden/>
    <w:rsid w:val="00692168"/>
    <w:rPr>
      <w:rFonts w:ascii="Tahoma" w:eastAsia="Times New Roman" w:hAnsi="Tahoma" w:cs="Tahoma"/>
      <w:sz w:val="16"/>
      <w:szCs w:val="16"/>
    </w:rPr>
  </w:style>
  <w:style w:type="character" w:styleId="Hyperlink">
    <w:name w:val="Hyperlink"/>
    <w:basedOn w:val="DefaultParagraphFont"/>
    <w:uiPriority w:val="99"/>
    <w:unhideWhenUsed/>
    <w:rsid w:val="006B7A35"/>
    <w:rPr>
      <w:color w:val="0000FF" w:themeColor="hyperlink"/>
      <w:u w:val="single"/>
    </w:rPr>
  </w:style>
  <w:style w:type="paragraph" w:customStyle="1" w:styleId="TxBr2p5">
    <w:name w:val="TxBr_2p5"/>
    <w:basedOn w:val="Normal"/>
    <w:rsid w:val="00BF6289"/>
    <w:pPr>
      <w:tabs>
        <w:tab w:val="left" w:pos="204"/>
      </w:tabs>
      <w:spacing w:line="240" w:lineRule="atLeast"/>
      <w:jc w:val="both"/>
    </w:pPr>
    <w:rPr>
      <w:snapToGrid w:val="0"/>
      <w:szCs w:val="20"/>
    </w:rPr>
  </w:style>
  <w:style w:type="table" w:styleId="TableGrid">
    <w:name w:val="Table Grid"/>
    <w:basedOn w:val="TableNormal"/>
    <w:uiPriority w:val="59"/>
    <w:rsid w:val="008E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3F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3F9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CD759F"/>
    <w:rPr>
      <w:rFonts w:ascii="Times New Roman" w:eastAsia="Times New Roman" w:hAnsi="Times New Roman" w:cs="Times New Roman"/>
      <w:b/>
      <w:sz w:val="28"/>
      <w:szCs w:val="20"/>
    </w:rPr>
  </w:style>
  <w:style w:type="character" w:styleId="FollowedHyperlink">
    <w:name w:val="FollowedHyperlink"/>
    <w:basedOn w:val="DefaultParagraphFont"/>
    <w:uiPriority w:val="99"/>
    <w:semiHidden/>
    <w:unhideWhenUsed/>
    <w:rsid w:val="00AD2B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759F"/>
    <w:pPr>
      <w:keepNext/>
      <w:numPr>
        <w:numId w:val="9"/>
      </w:numPr>
      <w:spacing w:before="120" w:after="120"/>
      <w:jc w:val="both"/>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331"/>
    <w:pPr>
      <w:spacing w:after="0" w:line="240" w:lineRule="auto"/>
    </w:pPr>
  </w:style>
  <w:style w:type="character" w:styleId="FootnoteReference">
    <w:name w:val="footnote reference"/>
    <w:basedOn w:val="DefaultParagraphFont"/>
    <w:uiPriority w:val="99"/>
    <w:rsid w:val="009E2078"/>
    <w:rPr>
      <w:vertAlign w:val="superscript"/>
    </w:rPr>
  </w:style>
  <w:style w:type="paragraph" w:styleId="FootnoteText">
    <w:name w:val="footnote text"/>
    <w:basedOn w:val="Normal"/>
    <w:link w:val="FootnoteTextChar"/>
    <w:rsid w:val="009E2078"/>
    <w:rPr>
      <w:sz w:val="20"/>
      <w:szCs w:val="20"/>
    </w:rPr>
  </w:style>
  <w:style w:type="character" w:customStyle="1" w:styleId="FootnoteTextChar">
    <w:name w:val="Footnote Text Char"/>
    <w:basedOn w:val="DefaultParagraphFont"/>
    <w:link w:val="FootnoteText"/>
    <w:rsid w:val="009E20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078"/>
    <w:pPr>
      <w:tabs>
        <w:tab w:val="center" w:pos="4680"/>
        <w:tab w:val="right" w:pos="9360"/>
      </w:tabs>
    </w:pPr>
  </w:style>
  <w:style w:type="character" w:customStyle="1" w:styleId="HeaderChar">
    <w:name w:val="Header Char"/>
    <w:basedOn w:val="DefaultParagraphFont"/>
    <w:link w:val="Header"/>
    <w:uiPriority w:val="99"/>
    <w:rsid w:val="009E20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078"/>
    <w:pPr>
      <w:tabs>
        <w:tab w:val="center" w:pos="4680"/>
        <w:tab w:val="right" w:pos="9360"/>
      </w:tabs>
    </w:pPr>
  </w:style>
  <w:style w:type="character" w:customStyle="1" w:styleId="FooterChar">
    <w:name w:val="Footer Char"/>
    <w:basedOn w:val="DefaultParagraphFont"/>
    <w:link w:val="Footer"/>
    <w:uiPriority w:val="99"/>
    <w:rsid w:val="009E2078"/>
    <w:rPr>
      <w:rFonts w:ascii="Times New Roman" w:eastAsia="Times New Roman" w:hAnsi="Times New Roman" w:cs="Times New Roman"/>
      <w:sz w:val="24"/>
      <w:szCs w:val="24"/>
    </w:rPr>
  </w:style>
  <w:style w:type="paragraph" w:styleId="ListParagraph">
    <w:name w:val="List Paragraph"/>
    <w:basedOn w:val="Normal"/>
    <w:uiPriority w:val="34"/>
    <w:qFormat/>
    <w:rsid w:val="00151F4D"/>
    <w:pPr>
      <w:ind w:left="720"/>
    </w:pPr>
  </w:style>
  <w:style w:type="paragraph" w:customStyle="1" w:styleId="Default">
    <w:name w:val="Default"/>
    <w:rsid w:val="007C488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92168"/>
    <w:rPr>
      <w:rFonts w:ascii="Tahoma" w:hAnsi="Tahoma" w:cs="Tahoma"/>
      <w:sz w:val="16"/>
      <w:szCs w:val="16"/>
    </w:rPr>
  </w:style>
  <w:style w:type="character" w:customStyle="1" w:styleId="BalloonTextChar">
    <w:name w:val="Balloon Text Char"/>
    <w:basedOn w:val="DefaultParagraphFont"/>
    <w:link w:val="BalloonText"/>
    <w:uiPriority w:val="99"/>
    <w:semiHidden/>
    <w:rsid w:val="00692168"/>
    <w:rPr>
      <w:rFonts w:ascii="Tahoma" w:eastAsia="Times New Roman" w:hAnsi="Tahoma" w:cs="Tahoma"/>
      <w:sz w:val="16"/>
      <w:szCs w:val="16"/>
    </w:rPr>
  </w:style>
  <w:style w:type="character" w:styleId="Hyperlink">
    <w:name w:val="Hyperlink"/>
    <w:basedOn w:val="DefaultParagraphFont"/>
    <w:uiPriority w:val="99"/>
    <w:unhideWhenUsed/>
    <w:rsid w:val="006B7A35"/>
    <w:rPr>
      <w:color w:val="0000FF" w:themeColor="hyperlink"/>
      <w:u w:val="single"/>
    </w:rPr>
  </w:style>
  <w:style w:type="paragraph" w:customStyle="1" w:styleId="TxBr2p5">
    <w:name w:val="TxBr_2p5"/>
    <w:basedOn w:val="Normal"/>
    <w:rsid w:val="00BF6289"/>
    <w:pPr>
      <w:tabs>
        <w:tab w:val="left" w:pos="204"/>
      </w:tabs>
      <w:spacing w:line="240" w:lineRule="atLeast"/>
      <w:jc w:val="both"/>
    </w:pPr>
    <w:rPr>
      <w:snapToGrid w:val="0"/>
      <w:szCs w:val="20"/>
    </w:rPr>
  </w:style>
  <w:style w:type="table" w:styleId="TableGrid">
    <w:name w:val="Table Grid"/>
    <w:basedOn w:val="TableNormal"/>
    <w:uiPriority w:val="59"/>
    <w:rsid w:val="008E3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3F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E3F9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CD759F"/>
    <w:rPr>
      <w:rFonts w:ascii="Times New Roman" w:eastAsia="Times New Roman" w:hAnsi="Times New Roman" w:cs="Times New Roman"/>
      <w:b/>
      <w:sz w:val="28"/>
      <w:szCs w:val="20"/>
    </w:rPr>
  </w:style>
  <w:style w:type="character" w:styleId="FollowedHyperlink">
    <w:name w:val="FollowedHyperlink"/>
    <w:basedOn w:val="DefaultParagraphFont"/>
    <w:uiPriority w:val="99"/>
    <w:semiHidden/>
    <w:unhideWhenUsed/>
    <w:rsid w:val="00AD2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3714">
      <w:bodyDiv w:val="1"/>
      <w:marLeft w:val="0"/>
      <w:marRight w:val="0"/>
      <w:marTop w:val="0"/>
      <w:marBottom w:val="0"/>
      <w:divBdr>
        <w:top w:val="none" w:sz="0" w:space="0" w:color="auto"/>
        <w:left w:val="none" w:sz="0" w:space="0" w:color="auto"/>
        <w:bottom w:val="none" w:sz="0" w:space="0" w:color="auto"/>
        <w:right w:val="none" w:sz="0" w:space="0" w:color="auto"/>
      </w:divBdr>
    </w:div>
    <w:div w:id="269364870">
      <w:bodyDiv w:val="1"/>
      <w:marLeft w:val="0"/>
      <w:marRight w:val="0"/>
      <w:marTop w:val="0"/>
      <w:marBottom w:val="0"/>
      <w:divBdr>
        <w:top w:val="none" w:sz="0" w:space="0" w:color="auto"/>
        <w:left w:val="none" w:sz="0" w:space="0" w:color="auto"/>
        <w:bottom w:val="none" w:sz="0" w:space="0" w:color="auto"/>
        <w:right w:val="none" w:sz="0" w:space="0" w:color="auto"/>
      </w:divBdr>
    </w:div>
    <w:div w:id="360782120">
      <w:bodyDiv w:val="1"/>
      <w:marLeft w:val="0"/>
      <w:marRight w:val="0"/>
      <w:marTop w:val="0"/>
      <w:marBottom w:val="0"/>
      <w:divBdr>
        <w:top w:val="none" w:sz="0" w:space="0" w:color="auto"/>
        <w:left w:val="none" w:sz="0" w:space="0" w:color="auto"/>
        <w:bottom w:val="none" w:sz="0" w:space="0" w:color="auto"/>
        <w:right w:val="none" w:sz="0" w:space="0" w:color="auto"/>
      </w:divBdr>
    </w:div>
    <w:div w:id="366217646">
      <w:bodyDiv w:val="1"/>
      <w:marLeft w:val="0"/>
      <w:marRight w:val="0"/>
      <w:marTop w:val="0"/>
      <w:marBottom w:val="0"/>
      <w:divBdr>
        <w:top w:val="none" w:sz="0" w:space="0" w:color="auto"/>
        <w:left w:val="none" w:sz="0" w:space="0" w:color="auto"/>
        <w:bottom w:val="none" w:sz="0" w:space="0" w:color="auto"/>
        <w:right w:val="none" w:sz="0" w:space="0" w:color="auto"/>
      </w:divBdr>
    </w:div>
    <w:div w:id="418255511">
      <w:bodyDiv w:val="1"/>
      <w:marLeft w:val="0"/>
      <w:marRight w:val="0"/>
      <w:marTop w:val="0"/>
      <w:marBottom w:val="0"/>
      <w:divBdr>
        <w:top w:val="none" w:sz="0" w:space="0" w:color="auto"/>
        <w:left w:val="none" w:sz="0" w:space="0" w:color="auto"/>
        <w:bottom w:val="none" w:sz="0" w:space="0" w:color="auto"/>
        <w:right w:val="none" w:sz="0" w:space="0" w:color="auto"/>
      </w:divBdr>
    </w:div>
    <w:div w:id="524291325">
      <w:bodyDiv w:val="1"/>
      <w:marLeft w:val="0"/>
      <w:marRight w:val="0"/>
      <w:marTop w:val="0"/>
      <w:marBottom w:val="0"/>
      <w:divBdr>
        <w:top w:val="none" w:sz="0" w:space="0" w:color="auto"/>
        <w:left w:val="none" w:sz="0" w:space="0" w:color="auto"/>
        <w:bottom w:val="none" w:sz="0" w:space="0" w:color="auto"/>
        <w:right w:val="none" w:sz="0" w:space="0" w:color="auto"/>
      </w:divBdr>
    </w:div>
    <w:div w:id="537164999">
      <w:bodyDiv w:val="1"/>
      <w:marLeft w:val="0"/>
      <w:marRight w:val="0"/>
      <w:marTop w:val="0"/>
      <w:marBottom w:val="0"/>
      <w:divBdr>
        <w:top w:val="none" w:sz="0" w:space="0" w:color="auto"/>
        <w:left w:val="none" w:sz="0" w:space="0" w:color="auto"/>
        <w:bottom w:val="none" w:sz="0" w:space="0" w:color="auto"/>
        <w:right w:val="none" w:sz="0" w:space="0" w:color="auto"/>
      </w:divBdr>
    </w:div>
    <w:div w:id="673842568">
      <w:bodyDiv w:val="1"/>
      <w:marLeft w:val="0"/>
      <w:marRight w:val="0"/>
      <w:marTop w:val="0"/>
      <w:marBottom w:val="0"/>
      <w:divBdr>
        <w:top w:val="none" w:sz="0" w:space="0" w:color="auto"/>
        <w:left w:val="none" w:sz="0" w:space="0" w:color="auto"/>
        <w:bottom w:val="none" w:sz="0" w:space="0" w:color="auto"/>
        <w:right w:val="none" w:sz="0" w:space="0" w:color="auto"/>
      </w:divBdr>
    </w:div>
    <w:div w:id="793985226">
      <w:bodyDiv w:val="1"/>
      <w:marLeft w:val="0"/>
      <w:marRight w:val="0"/>
      <w:marTop w:val="0"/>
      <w:marBottom w:val="0"/>
      <w:divBdr>
        <w:top w:val="none" w:sz="0" w:space="0" w:color="auto"/>
        <w:left w:val="none" w:sz="0" w:space="0" w:color="auto"/>
        <w:bottom w:val="none" w:sz="0" w:space="0" w:color="auto"/>
        <w:right w:val="none" w:sz="0" w:space="0" w:color="auto"/>
      </w:divBdr>
    </w:div>
    <w:div w:id="1010063542">
      <w:bodyDiv w:val="1"/>
      <w:marLeft w:val="0"/>
      <w:marRight w:val="0"/>
      <w:marTop w:val="0"/>
      <w:marBottom w:val="0"/>
      <w:divBdr>
        <w:top w:val="none" w:sz="0" w:space="0" w:color="auto"/>
        <w:left w:val="none" w:sz="0" w:space="0" w:color="auto"/>
        <w:bottom w:val="none" w:sz="0" w:space="0" w:color="auto"/>
        <w:right w:val="none" w:sz="0" w:space="0" w:color="auto"/>
      </w:divBdr>
    </w:div>
    <w:div w:id="1291472893">
      <w:bodyDiv w:val="1"/>
      <w:marLeft w:val="0"/>
      <w:marRight w:val="0"/>
      <w:marTop w:val="0"/>
      <w:marBottom w:val="0"/>
      <w:divBdr>
        <w:top w:val="none" w:sz="0" w:space="0" w:color="auto"/>
        <w:left w:val="none" w:sz="0" w:space="0" w:color="auto"/>
        <w:bottom w:val="none" w:sz="0" w:space="0" w:color="auto"/>
        <w:right w:val="none" w:sz="0" w:space="0" w:color="auto"/>
      </w:divBdr>
    </w:div>
    <w:div w:id="1387989858">
      <w:bodyDiv w:val="1"/>
      <w:marLeft w:val="0"/>
      <w:marRight w:val="0"/>
      <w:marTop w:val="0"/>
      <w:marBottom w:val="0"/>
      <w:divBdr>
        <w:top w:val="none" w:sz="0" w:space="0" w:color="auto"/>
        <w:left w:val="none" w:sz="0" w:space="0" w:color="auto"/>
        <w:bottom w:val="none" w:sz="0" w:space="0" w:color="auto"/>
        <w:right w:val="none" w:sz="0" w:space="0" w:color="auto"/>
      </w:divBdr>
    </w:div>
    <w:div w:id="1450049946">
      <w:bodyDiv w:val="1"/>
      <w:marLeft w:val="0"/>
      <w:marRight w:val="0"/>
      <w:marTop w:val="0"/>
      <w:marBottom w:val="0"/>
      <w:divBdr>
        <w:top w:val="none" w:sz="0" w:space="0" w:color="auto"/>
        <w:left w:val="none" w:sz="0" w:space="0" w:color="auto"/>
        <w:bottom w:val="none" w:sz="0" w:space="0" w:color="auto"/>
        <w:right w:val="none" w:sz="0" w:space="0" w:color="auto"/>
      </w:divBdr>
    </w:div>
    <w:div w:id="1513060611">
      <w:bodyDiv w:val="1"/>
      <w:marLeft w:val="0"/>
      <w:marRight w:val="0"/>
      <w:marTop w:val="0"/>
      <w:marBottom w:val="0"/>
      <w:divBdr>
        <w:top w:val="none" w:sz="0" w:space="0" w:color="auto"/>
        <w:left w:val="none" w:sz="0" w:space="0" w:color="auto"/>
        <w:bottom w:val="none" w:sz="0" w:space="0" w:color="auto"/>
        <w:right w:val="none" w:sz="0" w:space="0" w:color="auto"/>
      </w:divBdr>
    </w:div>
    <w:div w:id="1698890891">
      <w:bodyDiv w:val="1"/>
      <w:marLeft w:val="0"/>
      <w:marRight w:val="0"/>
      <w:marTop w:val="0"/>
      <w:marBottom w:val="0"/>
      <w:divBdr>
        <w:top w:val="none" w:sz="0" w:space="0" w:color="auto"/>
        <w:left w:val="none" w:sz="0" w:space="0" w:color="auto"/>
        <w:bottom w:val="none" w:sz="0" w:space="0" w:color="auto"/>
        <w:right w:val="none" w:sz="0" w:space="0" w:color="auto"/>
      </w:divBdr>
    </w:div>
    <w:div w:id="1734543964">
      <w:bodyDiv w:val="1"/>
      <w:marLeft w:val="0"/>
      <w:marRight w:val="0"/>
      <w:marTop w:val="0"/>
      <w:marBottom w:val="0"/>
      <w:divBdr>
        <w:top w:val="none" w:sz="0" w:space="0" w:color="auto"/>
        <w:left w:val="none" w:sz="0" w:space="0" w:color="auto"/>
        <w:bottom w:val="none" w:sz="0" w:space="0" w:color="auto"/>
        <w:right w:val="none" w:sz="0" w:space="0" w:color="auto"/>
      </w:divBdr>
    </w:div>
    <w:div w:id="1801728462">
      <w:bodyDiv w:val="1"/>
      <w:marLeft w:val="0"/>
      <w:marRight w:val="0"/>
      <w:marTop w:val="0"/>
      <w:marBottom w:val="0"/>
      <w:divBdr>
        <w:top w:val="none" w:sz="0" w:space="0" w:color="auto"/>
        <w:left w:val="none" w:sz="0" w:space="0" w:color="auto"/>
        <w:bottom w:val="none" w:sz="0" w:space="0" w:color="auto"/>
        <w:right w:val="none" w:sz="0" w:space="0" w:color="auto"/>
      </w:divBdr>
    </w:div>
    <w:div w:id="1847817628">
      <w:bodyDiv w:val="1"/>
      <w:marLeft w:val="0"/>
      <w:marRight w:val="0"/>
      <w:marTop w:val="0"/>
      <w:marBottom w:val="0"/>
      <w:divBdr>
        <w:top w:val="none" w:sz="0" w:space="0" w:color="auto"/>
        <w:left w:val="none" w:sz="0" w:space="0" w:color="auto"/>
        <w:bottom w:val="none" w:sz="0" w:space="0" w:color="auto"/>
        <w:right w:val="none" w:sz="0" w:space="0" w:color="auto"/>
      </w:divBdr>
    </w:div>
    <w:div w:id="1960605488">
      <w:bodyDiv w:val="1"/>
      <w:marLeft w:val="0"/>
      <w:marRight w:val="0"/>
      <w:marTop w:val="0"/>
      <w:marBottom w:val="0"/>
      <w:divBdr>
        <w:top w:val="none" w:sz="0" w:space="0" w:color="auto"/>
        <w:left w:val="none" w:sz="0" w:space="0" w:color="auto"/>
        <w:bottom w:val="none" w:sz="0" w:space="0" w:color="auto"/>
        <w:right w:val="none" w:sz="0" w:space="0" w:color="auto"/>
      </w:divBdr>
    </w:div>
    <w:div w:id="21323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t.ca.gov/hq/tsip/hseb/crs_map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C264-87A5-45EA-A751-EA844CDF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11</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Chuong</dc:creator>
  <cp:lastModifiedBy>Paula Grond</cp:lastModifiedBy>
  <cp:revision>147</cp:revision>
  <cp:lastPrinted>2014-07-08T21:22:00Z</cp:lastPrinted>
  <dcterms:created xsi:type="dcterms:W3CDTF">2014-05-07T19:20:00Z</dcterms:created>
  <dcterms:modified xsi:type="dcterms:W3CDTF">2014-07-18T15:14:00Z</dcterms:modified>
</cp:coreProperties>
</file>